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B5" w:rsidRDefault="00BD6803">
      <w:pPr>
        <w:rPr>
          <w:b/>
          <w:sz w:val="40"/>
          <w:u w:val="single"/>
        </w:rPr>
      </w:pPr>
      <w:proofErr w:type="spellStart"/>
      <w:r w:rsidRPr="00BD6803">
        <w:rPr>
          <w:b/>
          <w:sz w:val="40"/>
          <w:u w:val="single"/>
        </w:rPr>
        <w:t>SWATeam</w:t>
      </w:r>
      <w:proofErr w:type="spellEnd"/>
      <w:r w:rsidRPr="00BD6803">
        <w:rPr>
          <w:b/>
          <w:sz w:val="40"/>
          <w:u w:val="single"/>
        </w:rPr>
        <w:t xml:space="preserve"> Recommendation</w:t>
      </w:r>
    </w:p>
    <w:p w:rsidR="00BD6803" w:rsidRDefault="00FF3581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Name of </w:t>
      </w:r>
      <w:proofErr w:type="spellStart"/>
      <w:r>
        <w:rPr>
          <w:szCs w:val="24"/>
        </w:rPr>
        <w:t>SWATeam</w:t>
      </w:r>
      <w:proofErr w:type="spellEnd"/>
      <w:r w:rsidR="00BD6803">
        <w:rPr>
          <w:szCs w:val="24"/>
        </w:rPr>
        <w:t>:</w:t>
      </w:r>
      <w:r w:rsidR="00987F23">
        <w:rPr>
          <w:szCs w:val="24"/>
        </w:rPr>
        <w:t xml:space="preserve"> </w:t>
      </w:r>
      <w:r w:rsidR="00A9315B">
        <w:rPr>
          <w:szCs w:val="24"/>
        </w:rPr>
        <w:t xml:space="preserve">Purchasing, Waste and Recycling </w:t>
      </w: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5D7DEA" w:rsidP="005D7DEA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SWATeam</w:t>
      </w:r>
      <w:proofErr w:type="spellEnd"/>
      <w:r>
        <w:rPr>
          <w:szCs w:val="24"/>
        </w:rPr>
        <w:t xml:space="preserve"> Chair:</w:t>
      </w:r>
      <w:r w:rsidR="00A9315B">
        <w:rPr>
          <w:szCs w:val="24"/>
        </w:rPr>
        <w:t xml:space="preserve"> Bart Bartels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D6803">
        <w:rPr>
          <w:szCs w:val="24"/>
        </w:rPr>
        <w:t xml:space="preserve">Date Submitted to </w:t>
      </w:r>
      <w:proofErr w:type="spellStart"/>
      <w:r w:rsidR="00BD6803">
        <w:rPr>
          <w:szCs w:val="24"/>
        </w:rPr>
        <w:t>iSEE</w:t>
      </w:r>
      <w:proofErr w:type="spellEnd"/>
      <w:r w:rsidR="00BD6803">
        <w:rPr>
          <w:szCs w:val="24"/>
        </w:rPr>
        <w:t>:</w:t>
      </w:r>
      <w:r w:rsidR="00AA5707">
        <w:rPr>
          <w:szCs w:val="24"/>
        </w:rPr>
        <w:t xml:space="preserve"> 5/10/16</w:t>
      </w:r>
    </w:p>
    <w:p w:rsidR="00BD6803" w:rsidRDefault="00BD6803" w:rsidP="00BD6803">
      <w:pPr>
        <w:pBdr>
          <w:bottom w:val="single" w:sz="6" w:space="1" w:color="auto"/>
        </w:pBd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Specific </w:t>
      </w:r>
      <w:r w:rsidR="00FF3581">
        <w:rPr>
          <w:szCs w:val="24"/>
        </w:rPr>
        <w:t xml:space="preserve">Actions/Policy </w:t>
      </w:r>
      <w:r>
        <w:rPr>
          <w:szCs w:val="24"/>
        </w:rPr>
        <w:t>Recommend</w:t>
      </w:r>
      <w:r w:rsidR="00FF3581">
        <w:rPr>
          <w:szCs w:val="24"/>
        </w:rPr>
        <w:t>ed</w:t>
      </w:r>
      <w:r>
        <w:rPr>
          <w:szCs w:val="24"/>
        </w:rPr>
        <w:t xml:space="preserve"> (a few sentences):</w:t>
      </w:r>
    </w:p>
    <w:p w:rsidR="00A9315B" w:rsidRDefault="00A9315B" w:rsidP="00BD6803">
      <w:pPr>
        <w:spacing w:after="0" w:line="240" w:lineRule="auto"/>
        <w:rPr>
          <w:szCs w:val="24"/>
        </w:rPr>
      </w:pPr>
    </w:p>
    <w:p w:rsidR="00BD6803" w:rsidRDefault="00BA5A09" w:rsidP="00BD6803">
      <w:pPr>
        <w:spacing w:after="0" w:line="240" w:lineRule="auto"/>
        <w:rPr>
          <w:szCs w:val="24"/>
        </w:rPr>
      </w:pPr>
      <w:r>
        <w:rPr>
          <w:b/>
          <w:szCs w:val="24"/>
        </w:rPr>
        <w:t>We recommend</w:t>
      </w:r>
      <w:r w:rsidR="00A9315B" w:rsidRPr="00D774E0">
        <w:rPr>
          <w:b/>
          <w:szCs w:val="24"/>
        </w:rPr>
        <w:t xml:space="preserve"> </w:t>
      </w:r>
      <w:r w:rsidR="00EB0AE0">
        <w:rPr>
          <w:b/>
          <w:szCs w:val="24"/>
        </w:rPr>
        <w:t>a campus stakeholder lead an</w:t>
      </w:r>
      <w:r w:rsidR="003045E3">
        <w:rPr>
          <w:b/>
          <w:szCs w:val="24"/>
        </w:rPr>
        <w:t xml:space="preserve"> effort to expand and improve the </w:t>
      </w:r>
      <w:r w:rsidR="00EB0AE0">
        <w:rPr>
          <w:b/>
          <w:szCs w:val="24"/>
        </w:rPr>
        <w:t xml:space="preserve">effort to capture items during Move Out – collaborating with the YMCA </w:t>
      </w:r>
      <w:r>
        <w:rPr>
          <w:b/>
          <w:szCs w:val="24"/>
        </w:rPr>
        <w:t>on</w:t>
      </w:r>
      <w:r w:rsidR="00EB0AE0">
        <w:rPr>
          <w:b/>
          <w:szCs w:val="24"/>
        </w:rPr>
        <w:t xml:space="preserve"> the </w:t>
      </w:r>
      <w:r w:rsidR="003045E3">
        <w:rPr>
          <w:b/>
          <w:szCs w:val="24"/>
        </w:rPr>
        <w:t>Dump &amp; Run</w:t>
      </w:r>
      <w:r w:rsidR="00EB0AE0">
        <w:rPr>
          <w:b/>
          <w:szCs w:val="24"/>
        </w:rPr>
        <w:t>.</w:t>
      </w:r>
      <w:r w:rsidR="003045E3">
        <w:rPr>
          <w:b/>
          <w:szCs w:val="24"/>
        </w:rPr>
        <w:t xml:space="preserve"> </w:t>
      </w:r>
      <w:r w:rsidR="00EB0AE0">
        <w:rPr>
          <w:b/>
          <w:szCs w:val="24"/>
        </w:rPr>
        <w:t xml:space="preserve"> This action includes filling gaps in staff &amp; volunteer coordination, campus space coordination, and facilitating vehicles and staff time to run them. </w:t>
      </w:r>
    </w:p>
    <w:p w:rsidR="005D7DEA" w:rsidRDefault="005D7DEA" w:rsidP="00BD6803">
      <w:pPr>
        <w:spacing w:after="0" w:line="240" w:lineRule="auto"/>
        <w:rPr>
          <w:szCs w:val="24"/>
        </w:rPr>
      </w:pPr>
    </w:p>
    <w:p w:rsidR="00BD6803" w:rsidRDefault="005D7DEA" w:rsidP="00BD6803">
      <w:pPr>
        <w:spacing w:after="0" w:line="240" w:lineRule="auto"/>
        <w:rPr>
          <w:szCs w:val="24"/>
        </w:rPr>
      </w:pPr>
      <w:r>
        <w:rPr>
          <w:szCs w:val="24"/>
        </w:rPr>
        <w:t>Rationale for Recommendation (a few sentences):</w:t>
      </w:r>
    </w:p>
    <w:p w:rsidR="00A9315B" w:rsidRDefault="00A9315B" w:rsidP="00BD6803">
      <w:pPr>
        <w:spacing w:after="0" w:line="240" w:lineRule="auto"/>
        <w:rPr>
          <w:szCs w:val="24"/>
        </w:rPr>
      </w:pPr>
    </w:p>
    <w:p w:rsidR="00A9315B" w:rsidRPr="00D774E0" w:rsidRDefault="00EB0AE0" w:rsidP="00BD680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The University once managed the Move-Out activities, trying to reuse and recycle as much as possible.  In 2012 the program was handed off to the YMCA, who has managed the program </w:t>
      </w:r>
      <w:r w:rsidR="00BA5A09">
        <w:rPr>
          <w:b/>
          <w:szCs w:val="24"/>
        </w:rPr>
        <w:t xml:space="preserve">to the best of their ability </w:t>
      </w:r>
      <w:r>
        <w:rPr>
          <w:b/>
          <w:szCs w:val="24"/>
        </w:rPr>
        <w:t xml:space="preserve">since that time.  With the Y overseeing the program, gaps have been identified that can’t be </w:t>
      </w:r>
      <w:r w:rsidR="00F17E3E">
        <w:rPr>
          <w:b/>
          <w:szCs w:val="24"/>
        </w:rPr>
        <w:t>filled by the off-campus entity.  For instance they are not eligible for many grants that an UIUC organization could obtain.  Also, the Y is disadvantaged by not being part of the on-campus network, which would make communications easier.  Lastly, they are lacking in vehicles and UIUC staff to drive them.  Having an on-campus champion could fill each of these gaps.</w:t>
      </w:r>
    </w:p>
    <w:p w:rsidR="005D7DEA" w:rsidRDefault="005D7DEA" w:rsidP="00BD6803">
      <w:pPr>
        <w:spacing w:after="0" w:line="240" w:lineRule="auto"/>
        <w:rPr>
          <w:szCs w:val="24"/>
        </w:rPr>
      </w:pPr>
    </w:p>
    <w:p w:rsidR="005D7DEA" w:rsidRDefault="005D7DEA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Connection to </w:t>
      </w:r>
      <w:proofErr w:type="spellStart"/>
      <w:r>
        <w:rPr>
          <w:szCs w:val="24"/>
        </w:rPr>
        <w:t>iCAP</w:t>
      </w:r>
      <w:proofErr w:type="spellEnd"/>
      <w:r>
        <w:rPr>
          <w:szCs w:val="24"/>
        </w:rPr>
        <w:t xml:space="preserve"> Goals (a few sentences):</w:t>
      </w:r>
    </w:p>
    <w:p w:rsidR="00D774E0" w:rsidRDefault="00D774E0" w:rsidP="00BD6803">
      <w:pPr>
        <w:spacing w:after="0" w:line="240" w:lineRule="auto"/>
        <w:rPr>
          <w:szCs w:val="24"/>
        </w:rPr>
      </w:pPr>
    </w:p>
    <w:p w:rsidR="005D7DEA" w:rsidRPr="00D774E0" w:rsidRDefault="00F17E3E" w:rsidP="00BD680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This activity</w:t>
      </w:r>
      <w:r w:rsidR="00C11AE0" w:rsidRPr="00D774E0">
        <w:rPr>
          <w:b/>
          <w:szCs w:val="24"/>
        </w:rPr>
        <w:t xml:space="preserve"> to increase the recycling rate connects with </w:t>
      </w:r>
      <w:r w:rsidR="00D774E0" w:rsidRPr="00D774E0">
        <w:rPr>
          <w:b/>
          <w:szCs w:val="24"/>
        </w:rPr>
        <w:t xml:space="preserve">Purchasing/Waste/Recycling </w:t>
      </w:r>
      <w:r w:rsidR="00C11AE0" w:rsidRPr="00D774E0">
        <w:rPr>
          <w:b/>
          <w:szCs w:val="24"/>
        </w:rPr>
        <w:t xml:space="preserve">Goal 5 of the </w:t>
      </w:r>
      <w:proofErr w:type="spellStart"/>
      <w:r w:rsidR="00D774E0" w:rsidRPr="00D774E0">
        <w:rPr>
          <w:b/>
          <w:szCs w:val="24"/>
        </w:rPr>
        <w:t>iCAP</w:t>
      </w:r>
      <w:proofErr w:type="spellEnd"/>
      <w:r w:rsidR="00D774E0" w:rsidRPr="00D774E0">
        <w:rPr>
          <w:b/>
          <w:szCs w:val="24"/>
        </w:rPr>
        <w:t xml:space="preserve"> which states, “Identify opportunities for an increase in reuse and recycling of materials”.</w:t>
      </w:r>
    </w:p>
    <w:p w:rsidR="00D774E0" w:rsidRDefault="00D774E0" w:rsidP="00BD6803">
      <w:pPr>
        <w:spacing w:after="0" w:line="240" w:lineRule="auto"/>
        <w:rPr>
          <w:szCs w:val="24"/>
        </w:rPr>
      </w:pPr>
    </w:p>
    <w:p w:rsidR="005D7DEA" w:rsidRDefault="005D7DEA" w:rsidP="00BD6803">
      <w:pPr>
        <w:spacing w:after="0" w:line="240" w:lineRule="auto"/>
        <w:rPr>
          <w:szCs w:val="24"/>
        </w:rPr>
      </w:pPr>
      <w:r>
        <w:rPr>
          <w:szCs w:val="24"/>
        </w:rPr>
        <w:t>Perceived Challenges (a few sentences):</w:t>
      </w:r>
    </w:p>
    <w:p w:rsidR="005D7DEA" w:rsidRDefault="005D7DEA" w:rsidP="00BD6803">
      <w:pPr>
        <w:spacing w:after="0" w:line="240" w:lineRule="auto"/>
        <w:rPr>
          <w:szCs w:val="24"/>
        </w:rPr>
      </w:pPr>
    </w:p>
    <w:p w:rsidR="00D774E0" w:rsidRPr="00F36086" w:rsidRDefault="00F17E3E" w:rsidP="00BD680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Student volunteers may be difficult to find after finals week.  For that reason, staff and faculty volunteers will be needed.  Also, there will be </w:t>
      </w:r>
      <w:r w:rsidR="00BA5A09">
        <w:rPr>
          <w:b/>
          <w:szCs w:val="24"/>
        </w:rPr>
        <w:t xml:space="preserve">a </w:t>
      </w:r>
      <w:r>
        <w:rPr>
          <w:b/>
          <w:szCs w:val="24"/>
        </w:rPr>
        <w:t xml:space="preserve">need to find University Vehicles that aren’t being used during finals week.  That task could be difficult although the Division of </w:t>
      </w:r>
      <w:r w:rsidR="00354EE6">
        <w:rPr>
          <w:b/>
          <w:szCs w:val="24"/>
        </w:rPr>
        <w:t xml:space="preserve">Intercollegiate Athletics might have some available. </w:t>
      </w:r>
    </w:p>
    <w:p w:rsidR="005D7DEA" w:rsidRDefault="005D7DEA" w:rsidP="00BD6803">
      <w:pPr>
        <w:spacing w:after="0" w:line="240" w:lineRule="auto"/>
        <w:rPr>
          <w:szCs w:val="24"/>
        </w:rPr>
      </w:pPr>
    </w:p>
    <w:p w:rsidR="00BD6803" w:rsidRDefault="008403E8" w:rsidP="00BD6803">
      <w:pPr>
        <w:spacing w:after="0" w:line="240" w:lineRule="auto"/>
        <w:rPr>
          <w:szCs w:val="24"/>
        </w:rPr>
      </w:pPr>
      <w:r>
        <w:rPr>
          <w:szCs w:val="24"/>
        </w:rPr>
        <w:t>Suggested u</w:t>
      </w:r>
      <w:r w:rsidR="00FF3581">
        <w:rPr>
          <w:szCs w:val="24"/>
        </w:rPr>
        <w:t xml:space="preserve">nit/department </w:t>
      </w:r>
      <w:r>
        <w:rPr>
          <w:szCs w:val="24"/>
        </w:rPr>
        <w:t>to address</w:t>
      </w:r>
      <w:r w:rsidR="00FF3581">
        <w:rPr>
          <w:szCs w:val="24"/>
        </w:rPr>
        <w:t xml:space="preserve"> implementation:</w:t>
      </w:r>
      <w:r w:rsidR="00AA5707">
        <w:rPr>
          <w:szCs w:val="24"/>
        </w:rPr>
        <w:t xml:space="preserve"> </w:t>
      </w:r>
      <w:proofErr w:type="spellStart"/>
      <w:r w:rsidR="00AA5707" w:rsidRPr="00AA5707">
        <w:rPr>
          <w:b/>
          <w:szCs w:val="24"/>
        </w:rPr>
        <w:t>iSEE</w:t>
      </w:r>
      <w:proofErr w:type="spellEnd"/>
    </w:p>
    <w:p w:rsidR="00AA5707" w:rsidRDefault="00AA5707" w:rsidP="00BD6803">
      <w:pPr>
        <w:spacing w:after="0" w:line="240" w:lineRule="auto"/>
        <w:rPr>
          <w:szCs w:val="24"/>
        </w:rPr>
      </w:pPr>
    </w:p>
    <w:p w:rsidR="00AA5707" w:rsidRDefault="00AA5707" w:rsidP="00AA5707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Research indicates the most likely placement for such a program is the campus Sustainability Office.  In the case of UIUC, this would mean the Institute of Sustainability, Energy, and Environment (</w:t>
      </w:r>
      <w:proofErr w:type="spellStart"/>
      <w:r>
        <w:rPr>
          <w:b/>
          <w:szCs w:val="24"/>
        </w:rPr>
        <w:t>iSEE</w:t>
      </w:r>
      <w:proofErr w:type="spellEnd"/>
      <w:r>
        <w:rPr>
          <w:b/>
          <w:szCs w:val="24"/>
        </w:rPr>
        <w:t>), as it is in their mission to “develop and implement strategies for a sustainable environment on the UIUC campus”.</w:t>
      </w:r>
    </w:p>
    <w:p w:rsidR="00AA5707" w:rsidRDefault="00AA5707" w:rsidP="00BD6803">
      <w:pPr>
        <w:spacing w:after="0" w:line="240" w:lineRule="auto"/>
        <w:rPr>
          <w:szCs w:val="24"/>
        </w:rPr>
      </w:pPr>
    </w:p>
    <w:p w:rsidR="00F36086" w:rsidRDefault="00987F23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Anticipated level of </w:t>
      </w:r>
      <w:r w:rsidR="00FF3581">
        <w:rPr>
          <w:szCs w:val="24"/>
        </w:rPr>
        <w:t xml:space="preserve">budget and/or policy </w:t>
      </w:r>
      <w:r>
        <w:rPr>
          <w:szCs w:val="24"/>
        </w:rPr>
        <w:t>impact</w:t>
      </w:r>
      <w:r w:rsidR="00FF3581">
        <w:rPr>
          <w:szCs w:val="24"/>
        </w:rPr>
        <w:t xml:space="preserve"> (low, medium, high)</w:t>
      </w:r>
      <w:r>
        <w:rPr>
          <w:szCs w:val="24"/>
        </w:rPr>
        <w:t xml:space="preserve">: </w:t>
      </w:r>
      <w:r w:rsidR="00AA5707" w:rsidRPr="00AA5707">
        <w:rPr>
          <w:b/>
          <w:szCs w:val="24"/>
        </w:rPr>
        <w:t>low</w:t>
      </w:r>
    </w:p>
    <w:p w:rsidR="00354EE6" w:rsidRDefault="00354EE6" w:rsidP="00BD6803">
      <w:pPr>
        <w:spacing w:after="0" w:line="240" w:lineRule="auto"/>
        <w:rPr>
          <w:b/>
          <w:szCs w:val="24"/>
        </w:rPr>
      </w:pPr>
    </w:p>
    <w:p w:rsidR="00354EE6" w:rsidRDefault="00354EE6" w:rsidP="00BD680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The budget for this project </w:t>
      </w:r>
      <w:r w:rsidR="00BA5A09">
        <w:rPr>
          <w:b/>
          <w:szCs w:val="24"/>
        </w:rPr>
        <w:t xml:space="preserve">would mostly consist of </w:t>
      </w:r>
      <w:proofErr w:type="spellStart"/>
      <w:r w:rsidR="00BA5A09">
        <w:rPr>
          <w:b/>
          <w:szCs w:val="24"/>
        </w:rPr>
        <w:t>iSEE’s</w:t>
      </w:r>
      <w:proofErr w:type="spellEnd"/>
      <w:r w:rsidR="00BA5A09">
        <w:rPr>
          <w:b/>
          <w:szCs w:val="24"/>
        </w:rPr>
        <w:t xml:space="preserve"> staff time. The PWR </w:t>
      </w:r>
      <w:proofErr w:type="spellStart"/>
      <w:r w:rsidR="00BA5A09">
        <w:rPr>
          <w:b/>
          <w:szCs w:val="24"/>
        </w:rPr>
        <w:t>SWATeam</w:t>
      </w:r>
      <w:proofErr w:type="spellEnd"/>
      <w:r w:rsidR="00BA5A09">
        <w:rPr>
          <w:b/>
          <w:szCs w:val="24"/>
        </w:rPr>
        <w:t xml:space="preserve"> also believes that Facilities &amp; Services should subsidize this program as they will be the beneficiary of avoided costs.  These costs (tipping and hauling fee</w:t>
      </w:r>
      <w:r w:rsidR="00AA5707">
        <w:rPr>
          <w:b/>
          <w:szCs w:val="24"/>
        </w:rPr>
        <w:t>s) have been estimated to be $67</w:t>
      </w:r>
      <w:r w:rsidR="00BA5A09">
        <w:rPr>
          <w:b/>
          <w:szCs w:val="24"/>
        </w:rPr>
        <w:t xml:space="preserve"> per ton.</w:t>
      </w:r>
    </w:p>
    <w:p w:rsidR="00354EE6" w:rsidRDefault="00354EE6" w:rsidP="00BD6803">
      <w:pPr>
        <w:spacing w:after="0" w:line="240" w:lineRule="auto"/>
        <w:rPr>
          <w:szCs w:val="24"/>
        </w:rPr>
      </w:pPr>
    </w:p>
    <w:p w:rsidR="00BD6803" w:rsidRDefault="00FF3581" w:rsidP="00BD6803">
      <w:pPr>
        <w:spacing w:after="0" w:line="240" w:lineRule="auto"/>
        <w:rPr>
          <w:szCs w:val="24"/>
        </w:rPr>
      </w:pPr>
      <w:r>
        <w:rPr>
          <w:szCs w:val="24"/>
        </w:rPr>
        <w:t>Individual c</w:t>
      </w:r>
      <w:r w:rsidR="00BD6803">
        <w:rPr>
          <w:szCs w:val="24"/>
        </w:rPr>
        <w:t xml:space="preserve">omments </w:t>
      </w:r>
      <w:r>
        <w:rPr>
          <w:szCs w:val="24"/>
        </w:rPr>
        <w:t xml:space="preserve">are required </w:t>
      </w:r>
      <w:r w:rsidR="00BD6803">
        <w:rPr>
          <w:szCs w:val="24"/>
        </w:rPr>
        <w:t xml:space="preserve">from </w:t>
      </w:r>
      <w:r>
        <w:rPr>
          <w:szCs w:val="24"/>
        </w:rPr>
        <w:t xml:space="preserve">each </w:t>
      </w:r>
      <w:proofErr w:type="spellStart"/>
      <w:r>
        <w:rPr>
          <w:szCs w:val="24"/>
        </w:rPr>
        <w:t>SWA</w:t>
      </w:r>
      <w:r w:rsidR="00BD6803">
        <w:rPr>
          <w:szCs w:val="24"/>
        </w:rPr>
        <w:t>Team</w:t>
      </w:r>
      <w:proofErr w:type="spellEnd"/>
      <w:r w:rsidR="00BD6803">
        <w:rPr>
          <w:szCs w:val="24"/>
        </w:rPr>
        <w:t xml:space="preserve"> </w:t>
      </w:r>
      <w:r>
        <w:rPr>
          <w:szCs w:val="24"/>
        </w:rPr>
        <w:t>m</w:t>
      </w:r>
      <w:r w:rsidR="00BD6803">
        <w:rPr>
          <w:szCs w:val="24"/>
        </w:rPr>
        <w:t>ember</w:t>
      </w:r>
      <w:r>
        <w:rPr>
          <w:szCs w:val="24"/>
        </w:rPr>
        <w:t xml:space="preserve"> (can be brief, if member fully agrees)</w:t>
      </w:r>
      <w:r w:rsidR="00BD6803">
        <w:rPr>
          <w:szCs w:val="24"/>
        </w:rPr>
        <w:t>:</w:t>
      </w:r>
    </w:p>
    <w:p w:rsidR="00BD6803" w:rsidRDefault="00BD6803" w:rsidP="00BD6803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8"/>
        <w:gridCol w:w="8362"/>
      </w:tblGrid>
      <w:tr w:rsidR="00FF3581" w:rsidTr="00FF3581">
        <w:trPr>
          <w:trHeight w:val="323"/>
        </w:trPr>
        <w:tc>
          <w:tcPr>
            <w:tcW w:w="2448" w:type="dxa"/>
          </w:tcPr>
          <w:p w:rsidR="00FF3581" w:rsidRDefault="00FF3581" w:rsidP="00FF35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Team Member Name</w:t>
            </w:r>
          </w:p>
        </w:tc>
        <w:tc>
          <w:tcPr>
            <w:tcW w:w="8460" w:type="dxa"/>
          </w:tcPr>
          <w:p w:rsidR="00FF3581" w:rsidRDefault="00FF3581" w:rsidP="00FF35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Team Member’s Comments</w:t>
            </w:r>
          </w:p>
        </w:tc>
      </w:tr>
      <w:tr w:rsidR="00FF3581" w:rsidTr="00FF3581">
        <w:trPr>
          <w:trHeight w:val="720"/>
        </w:trPr>
        <w:tc>
          <w:tcPr>
            <w:tcW w:w="2448" w:type="dxa"/>
          </w:tcPr>
          <w:p w:rsidR="00FF3581" w:rsidRDefault="00CB6EEC" w:rsidP="00BD680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Bart Bartels</w:t>
            </w:r>
          </w:p>
        </w:tc>
        <w:tc>
          <w:tcPr>
            <w:tcW w:w="8460" w:type="dxa"/>
          </w:tcPr>
          <w:p w:rsidR="00FF3581" w:rsidRDefault="00AA5707" w:rsidP="00BD6803">
            <w:pPr>
              <w:rPr>
                <w:szCs w:val="24"/>
              </w:rPr>
            </w:pPr>
            <w:r>
              <w:rPr>
                <w:szCs w:val="24"/>
              </w:rPr>
              <w:t>I support this!</w:t>
            </w:r>
          </w:p>
        </w:tc>
      </w:tr>
      <w:tr w:rsidR="00FF3581" w:rsidTr="00FF3581">
        <w:trPr>
          <w:trHeight w:val="720"/>
        </w:trPr>
        <w:tc>
          <w:tcPr>
            <w:tcW w:w="2448" w:type="dxa"/>
          </w:tcPr>
          <w:p w:rsidR="00FF3581" w:rsidRDefault="00BA5A09" w:rsidP="00BD6803">
            <w:pPr>
              <w:rPr>
                <w:szCs w:val="24"/>
              </w:rPr>
            </w:pPr>
            <w:r>
              <w:rPr>
                <w:szCs w:val="24"/>
              </w:rPr>
              <w:t>Marcy Wright</w:t>
            </w:r>
          </w:p>
        </w:tc>
        <w:tc>
          <w:tcPr>
            <w:tcW w:w="8460" w:type="dxa"/>
          </w:tcPr>
          <w:p w:rsidR="00FF3581" w:rsidRDefault="00A15F93" w:rsidP="00BD6803">
            <w:pPr>
              <w:rPr>
                <w:szCs w:val="24"/>
              </w:rPr>
            </w:pPr>
            <w:r>
              <w:rPr>
                <w:szCs w:val="24"/>
              </w:rPr>
              <w:t>I support this.</w:t>
            </w:r>
            <w:bookmarkStart w:id="0" w:name="_GoBack"/>
            <w:bookmarkEnd w:id="0"/>
          </w:p>
        </w:tc>
      </w:tr>
      <w:tr w:rsidR="00FF3581" w:rsidTr="00FF3581">
        <w:trPr>
          <w:trHeight w:val="720"/>
        </w:trPr>
        <w:tc>
          <w:tcPr>
            <w:tcW w:w="2448" w:type="dxa"/>
          </w:tcPr>
          <w:p w:rsidR="00FF3581" w:rsidRDefault="00CB6EEC" w:rsidP="00BD6803">
            <w:pPr>
              <w:rPr>
                <w:szCs w:val="24"/>
              </w:rPr>
            </w:pPr>
            <w:r>
              <w:rPr>
                <w:szCs w:val="24"/>
              </w:rPr>
              <w:t>Warren Lavey</w:t>
            </w:r>
          </w:p>
        </w:tc>
        <w:tc>
          <w:tcPr>
            <w:tcW w:w="8460" w:type="dxa"/>
          </w:tcPr>
          <w:p w:rsidR="00FF3581" w:rsidRDefault="00AA5707" w:rsidP="00BD6803">
            <w:pPr>
              <w:rPr>
                <w:szCs w:val="24"/>
              </w:rPr>
            </w:pPr>
            <w:r>
              <w:rPr>
                <w:szCs w:val="24"/>
              </w:rPr>
              <w:t>Good!</w:t>
            </w:r>
          </w:p>
        </w:tc>
      </w:tr>
      <w:tr w:rsidR="00FF3581" w:rsidTr="00FF3581">
        <w:trPr>
          <w:trHeight w:val="720"/>
        </w:trPr>
        <w:tc>
          <w:tcPr>
            <w:tcW w:w="2448" w:type="dxa"/>
          </w:tcPr>
          <w:p w:rsidR="00FF3581" w:rsidRDefault="00BA5A09" w:rsidP="00BD6803">
            <w:pPr>
              <w:rPr>
                <w:szCs w:val="24"/>
              </w:rPr>
            </w:pPr>
            <w:r>
              <w:rPr>
                <w:szCs w:val="24"/>
              </w:rPr>
              <w:t>Rachel Baits</w:t>
            </w:r>
          </w:p>
        </w:tc>
        <w:tc>
          <w:tcPr>
            <w:tcW w:w="8460" w:type="dxa"/>
          </w:tcPr>
          <w:p w:rsidR="00FF3581" w:rsidRDefault="00AA5707" w:rsidP="00BD6803">
            <w:pPr>
              <w:rPr>
                <w:szCs w:val="24"/>
              </w:rPr>
            </w:pPr>
            <w:r>
              <w:rPr>
                <w:szCs w:val="24"/>
              </w:rPr>
              <w:t>I agree!</w:t>
            </w:r>
          </w:p>
        </w:tc>
      </w:tr>
      <w:tr w:rsidR="00FF3581" w:rsidTr="00FF3581">
        <w:trPr>
          <w:trHeight w:val="720"/>
        </w:trPr>
        <w:tc>
          <w:tcPr>
            <w:tcW w:w="2448" w:type="dxa"/>
          </w:tcPr>
          <w:p w:rsidR="00FF3581" w:rsidRDefault="00CB6EEC" w:rsidP="00BD6803">
            <w:pPr>
              <w:rPr>
                <w:szCs w:val="24"/>
              </w:rPr>
            </w:pPr>
            <w:r>
              <w:rPr>
                <w:szCs w:val="24"/>
              </w:rPr>
              <w:t>Dilip Chhajed</w:t>
            </w:r>
          </w:p>
        </w:tc>
        <w:tc>
          <w:tcPr>
            <w:tcW w:w="8460" w:type="dxa"/>
          </w:tcPr>
          <w:p w:rsidR="00FF3581" w:rsidRDefault="00AA5707" w:rsidP="00BD6803">
            <w:pPr>
              <w:rPr>
                <w:szCs w:val="24"/>
              </w:rPr>
            </w:pPr>
            <w:r>
              <w:rPr>
                <w:szCs w:val="24"/>
              </w:rPr>
              <w:t>I think the University should jointly explore with the YMCA the best way to move this program forward.</w:t>
            </w:r>
          </w:p>
        </w:tc>
      </w:tr>
      <w:tr w:rsidR="00FF3581" w:rsidTr="00FF3581">
        <w:trPr>
          <w:trHeight w:val="720"/>
        </w:trPr>
        <w:tc>
          <w:tcPr>
            <w:tcW w:w="2448" w:type="dxa"/>
          </w:tcPr>
          <w:p w:rsidR="00FF3581" w:rsidRDefault="00AA5707" w:rsidP="00BD6803">
            <w:pPr>
              <w:rPr>
                <w:szCs w:val="24"/>
              </w:rPr>
            </w:pPr>
            <w:r>
              <w:rPr>
                <w:szCs w:val="24"/>
              </w:rPr>
              <w:t>Karin Hodgin Jones</w:t>
            </w:r>
          </w:p>
        </w:tc>
        <w:tc>
          <w:tcPr>
            <w:tcW w:w="8460" w:type="dxa"/>
          </w:tcPr>
          <w:p w:rsidR="00FF3581" w:rsidRDefault="00AA5707" w:rsidP="00BD6803">
            <w:pPr>
              <w:rPr>
                <w:szCs w:val="24"/>
              </w:rPr>
            </w:pPr>
            <w:r>
              <w:rPr>
                <w:szCs w:val="24"/>
              </w:rPr>
              <w:t>I support this!</w:t>
            </w:r>
          </w:p>
        </w:tc>
      </w:tr>
    </w:tbl>
    <w:p w:rsidR="00BD6803" w:rsidRDefault="00BD6803" w:rsidP="00BD6803">
      <w:pPr>
        <w:spacing w:after="0" w:line="240" w:lineRule="auto"/>
        <w:rPr>
          <w:szCs w:val="24"/>
        </w:rPr>
      </w:pPr>
    </w:p>
    <w:p w:rsidR="00FF3581" w:rsidRDefault="00FF3581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  <w:r>
        <w:rPr>
          <w:szCs w:val="24"/>
        </w:rPr>
        <w:t>Comments from Consultation Group (if any</w:t>
      </w:r>
      <w:r w:rsidR="00FF3581">
        <w:rPr>
          <w:szCs w:val="24"/>
        </w:rPr>
        <w:t>;</w:t>
      </w:r>
      <w:r>
        <w:rPr>
          <w:szCs w:val="24"/>
        </w:rPr>
        <w:t xml:space="preserve"> </w:t>
      </w:r>
      <w:r w:rsidR="00FF3581">
        <w:rPr>
          <w:szCs w:val="24"/>
        </w:rPr>
        <w:t xml:space="preserve">these </w:t>
      </w:r>
      <w:r>
        <w:rPr>
          <w:szCs w:val="24"/>
        </w:rPr>
        <w:t>can be anonymous):</w:t>
      </w: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  <w:r>
        <w:rPr>
          <w:szCs w:val="24"/>
        </w:rPr>
        <w:t>Explanation and Background</w:t>
      </w:r>
      <w:r w:rsidR="00FF3581">
        <w:rPr>
          <w:szCs w:val="24"/>
        </w:rPr>
        <w:t xml:space="preserve"> (can be supplied in an attachment)</w:t>
      </w:r>
      <w:r>
        <w:rPr>
          <w:szCs w:val="24"/>
        </w:rPr>
        <w:t xml:space="preserve">: </w:t>
      </w: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Pr="00BD6803" w:rsidRDefault="00BD6803">
      <w:pPr>
        <w:rPr>
          <w:szCs w:val="24"/>
        </w:rPr>
      </w:pPr>
    </w:p>
    <w:sectPr w:rsidR="00BD6803" w:rsidRPr="00BD6803" w:rsidSect="00FF3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03"/>
    <w:rsid w:val="00184EB5"/>
    <w:rsid w:val="003045E3"/>
    <w:rsid w:val="00354EE6"/>
    <w:rsid w:val="005D7DEA"/>
    <w:rsid w:val="006432D0"/>
    <w:rsid w:val="007049BD"/>
    <w:rsid w:val="008403E8"/>
    <w:rsid w:val="008F1536"/>
    <w:rsid w:val="00987F23"/>
    <w:rsid w:val="00A15F93"/>
    <w:rsid w:val="00A9315B"/>
    <w:rsid w:val="00AA5707"/>
    <w:rsid w:val="00B76B0C"/>
    <w:rsid w:val="00BA5A09"/>
    <w:rsid w:val="00BD6803"/>
    <w:rsid w:val="00C11AE0"/>
    <w:rsid w:val="00CB6EEC"/>
    <w:rsid w:val="00D774E0"/>
    <w:rsid w:val="00E4548E"/>
    <w:rsid w:val="00EB0AE0"/>
    <w:rsid w:val="00F17E3E"/>
    <w:rsid w:val="00F36086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FA503-8C37-4C4F-B6A3-C35E2F7F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D0"/>
    <w:pPr>
      <w:jc w:val="both"/>
    </w:pPr>
    <w:rPr>
      <w:rFonts w:ascii="Garamond" w:eastAsiaTheme="minorEastAsia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D0"/>
    <w:rPr>
      <w:rFonts w:ascii="Garamond" w:eastAsia="Times New Roman" w:hAnsi="Garamond" w:cs="Times New Roman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0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Johnston</dc:creator>
  <cp:lastModifiedBy>Bartels, Bart A</cp:lastModifiedBy>
  <cp:revision>3</cp:revision>
  <dcterms:created xsi:type="dcterms:W3CDTF">2016-04-21T18:52:00Z</dcterms:created>
  <dcterms:modified xsi:type="dcterms:W3CDTF">2016-05-10T17:43:00Z</dcterms:modified>
</cp:coreProperties>
</file>