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8960F" w14:textId="77777777" w:rsidR="00F503E2" w:rsidRDefault="00F503E2" w:rsidP="00F503E2">
      <w:pPr>
        <w:spacing w:line="480" w:lineRule="auto"/>
        <w:rPr>
          <w:rFonts w:ascii="Times New Roman" w:hAnsi="Times New Roman" w:cs="Times New Roman"/>
        </w:rPr>
      </w:pPr>
      <w:r>
        <w:rPr>
          <w:rFonts w:ascii="Times New Roman" w:hAnsi="Times New Roman" w:cs="Times New Roman"/>
        </w:rPr>
        <w:t>Stephanie Kim</w:t>
      </w:r>
    </w:p>
    <w:p w14:paraId="0961653D" w14:textId="77777777" w:rsidR="00F503E2" w:rsidRDefault="00F503E2" w:rsidP="00F503E2">
      <w:pPr>
        <w:spacing w:line="480" w:lineRule="auto"/>
        <w:jc w:val="center"/>
        <w:rPr>
          <w:rFonts w:ascii="Times New Roman" w:hAnsi="Times New Roman" w:cs="Times New Roman"/>
        </w:rPr>
      </w:pPr>
      <w:proofErr w:type="spellStart"/>
      <w:r>
        <w:rPr>
          <w:rFonts w:ascii="Times New Roman" w:hAnsi="Times New Roman" w:cs="Times New Roman"/>
        </w:rPr>
        <w:t>GreenLink</w:t>
      </w:r>
      <w:proofErr w:type="spellEnd"/>
      <w:r w:rsidR="00250381">
        <w:rPr>
          <w:rFonts w:ascii="Times New Roman" w:hAnsi="Times New Roman" w:cs="Times New Roman"/>
        </w:rPr>
        <w:t xml:space="preserve"> Project Assessment</w:t>
      </w:r>
    </w:p>
    <w:p w14:paraId="787599F1" w14:textId="77777777" w:rsidR="00F503E2" w:rsidRDefault="00F503E2" w:rsidP="00F503E2">
      <w:pPr>
        <w:spacing w:line="480" w:lineRule="auto"/>
        <w:rPr>
          <w:rFonts w:ascii="Times New Roman" w:hAnsi="Times New Roman" w:cs="Times New Roman"/>
        </w:rPr>
      </w:pPr>
      <w:r>
        <w:rPr>
          <w:rFonts w:ascii="Times New Roman" w:hAnsi="Times New Roman" w:cs="Times New Roman"/>
        </w:rPr>
        <w:tab/>
        <w:t>The University of Illinois is an educational institution that strives for excellence in sustainability. Under this new goal, many projects have been funded su</w:t>
      </w:r>
      <w:r w:rsidR="00416C73">
        <w:rPr>
          <w:rFonts w:ascii="Times New Roman" w:hAnsi="Times New Roman" w:cs="Times New Roman"/>
        </w:rPr>
        <w:t xml:space="preserve">ch as the green roof over the Link Gallery. </w:t>
      </w:r>
      <w:r w:rsidR="00CC69BC">
        <w:rPr>
          <w:rFonts w:ascii="Times New Roman" w:hAnsi="Times New Roman" w:cs="Times New Roman"/>
        </w:rPr>
        <w:t xml:space="preserve">The Link Gallery is a space used to exhibit student work and is wedged between the Art and Design Building and the </w:t>
      </w:r>
      <w:proofErr w:type="spellStart"/>
      <w:r w:rsidR="00CC69BC">
        <w:rPr>
          <w:rFonts w:ascii="Times New Roman" w:hAnsi="Times New Roman" w:cs="Times New Roman"/>
        </w:rPr>
        <w:t>Krannert</w:t>
      </w:r>
      <w:proofErr w:type="spellEnd"/>
      <w:r w:rsidR="00CC69BC">
        <w:rPr>
          <w:rFonts w:ascii="Times New Roman" w:hAnsi="Times New Roman" w:cs="Times New Roman"/>
        </w:rPr>
        <w:t xml:space="preserve"> Art Museum. </w:t>
      </w:r>
      <w:r w:rsidR="00416C73">
        <w:rPr>
          <w:rFonts w:ascii="Times New Roman" w:hAnsi="Times New Roman" w:cs="Times New Roman"/>
        </w:rPr>
        <w:t xml:space="preserve">The project, titled </w:t>
      </w:r>
      <w:proofErr w:type="spellStart"/>
      <w:r w:rsidR="00416C73">
        <w:rPr>
          <w:rFonts w:ascii="Times New Roman" w:hAnsi="Times New Roman" w:cs="Times New Roman"/>
        </w:rPr>
        <w:t>GreenLink</w:t>
      </w:r>
      <w:proofErr w:type="spellEnd"/>
      <w:r w:rsidR="00416C73">
        <w:rPr>
          <w:rFonts w:ascii="Times New Roman" w:hAnsi="Times New Roman" w:cs="Times New Roman"/>
        </w:rPr>
        <w:t xml:space="preserve">, was proposed by Nan </w:t>
      </w:r>
      <w:proofErr w:type="spellStart"/>
      <w:r w:rsidR="00416C73">
        <w:rPr>
          <w:rFonts w:ascii="Times New Roman" w:hAnsi="Times New Roman" w:cs="Times New Roman"/>
        </w:rPr>
        <w:t>Goggins</w:t>
      </w:r>
      <w:proofErr w:type="spellEnd"/>
      <w:r w:rsidR="00416C73">
        <w:rPr>
          <w:rFonts w:ascii="Times New Roman" w:hAnsi="Times New Roman" w:cs="Times New Roman"/>
        </w:rPr>
        <w:t>, the Director of the School of Art and Design, and David Akins, the Director of Art</w:t>
      </w:r>
      <w:r w:rsidR="00CC69BC">
        <w:rPr>
          <w:rFonts w:ascii="Times New Roman" w:hAnsi="Times New Roman" w:cs="Times New Roman"/>
        </w:rPr>
        <w:t xml:space="preserve"> and Desi</w:t>
      </w:r>
      <w:r w:rsidR="00412C2E">
        <w:rPr>
          <w:rFonts w:ascii="Times New Roman" w:hAnsi="Times New Roman" w:cs="Times New Roman"/>
        </w:rPr>
        <w:t>gn Facilities in 2008</w:t>
      </w:r>
      <w:r w:rsidR="00EA5983">
        <w:rPr>
          <w:rStyle w:val="FootnoteReference"/>
          <w:rFonts w:ascii="Times New Roman" w:hAnsi="Times New Roman" w:cs="Times New Roman"/>
        </w:rPr>
        <w:footnoteReference w:id="1"/>
      </w:r>
      <w:r w:rsidR="00412C2E">
        <w:rPr>
          <w:rFonts w:ascii="Times New Roman" w:hAnsi="Times New Roman" w:cs="Times New Roman"/>
        </w:rPr>
        <w:t>. The goal</w:t>
      </w:r>
      <w:r w:rsidR="00CC69BC">
        <w:rPr>
          <w:rFonts w:ascii="Times New Roman" w:hAnsi="Times New Roman" w:cs="Times New Roman"/>
        </w:rPr>
        <w:t xml:space="preserve"> of this project </w:t>
      </w:r>
      <w:r w:rsidR="00412C2E">
        <w:rPr>
          <w:rFonts w:ascii="Times New Roman" w:hAnsi="Times New Roman" w:cs="Times New Roman"/>
        </w:rPr>
        <w:t>was</w:t>
      </w:r>
      <w:r w:rsidR="00CC69BC">
        <w:rPr>
          <w:rFonts w:ascii="Times New Roman" w:hAnsi="Times New Roman" w:cs="Times New Roman"/>
        </w:rPr>
        <w:t xml:space="preserve"> to make visible the concerns and interests of Fine and Applied Arts students and faculty in working collaboratively on “greening</w:t>
      </w:r>
      <w:r w:rsidR="00412C2E">
        <w:rPr>
          <w:rFonts w:ascii="Times New Roman" w:hAnsi="Times New Roman" w:cs="Times New Roman"/>
        </w:rPr>
        <w:t xml:space="preserve"> the art campus”. They also had the goals of lowering the heating and cooling costs for the Link space, as well as collecting and storing rainwater to water the gardens on either side of the Link Gallery. </w:t>
      </w:r>
    </w:p>
    <w:p w14:paraId="529FA903" w14:textId="77777777" w:rsidR="00412C2E" w:rsidRDefault="00412C2E" w:rsidP="00F503E2">
      <w:pPr>
        <w:spacing w:line="480" w:lineRule="auto"/>
        <w:rPr>
          <w:rFonts w:ascii="Times New Roman" w:hAnsi="Times New Roman" w:cs="Times New Roman"/>
        </w:rPr>
      </w:pPr>
      <w:r>
        <w:rPr>
          <w:rFonts w:ascii="Times New Roman" w:hAnsi="Times New Roman" w:cs="Times New Roman"/>
        </w:rPr>
        <w:tab/>
        <w:t xml:space="preserve">Before going into detail about the project, I think it is necessary to give a brief overview of green roofs since they are </w:t>
      </w:r>
      <w:r w:rsidR="00541168">
        <w:rPr>
          <w:rFonts w:ascii="Times New Roman" w:hAnsi="Times New Roman" w:cs="Times New Roman"/>
        </w:rPr>
        <w:t xml:space="preserve">a relatively new concept. There are many components to a green roof. At the bottoms, there is often a waterproofing root barrier layer. Above that is the drainage and water storage layer that is lightweight. A filter layer is necessary for filtering out silt from the planting medium to prevent drainage problems. Then there is the planting medium, which is specially made to be lightweight and allow for the percolation of water like pumice. Vegetation is then put on top and while species chosen are highly dependent on the climate or green roof type, they are usually dry-resistant succulent types. </w:t>
      </w:r>
    </w:p>
    <w:p w14:paraId="5223B8AC" w14:textId="77777777" w:rsidR="00541168" w:rsidRDefault="00541168" w:rsidP="00F503E2">
      <w:pPr>
        <w:spacing w:line="480" w:lineRule="auto"/>
        <w:rPr>
          <w:rFonts w:ascii="Times New Roman" w:hAnsi="Times New Roman" w:cs="Times New Roman"/>
        </w:rPr>
      </w:pPr>
      <w:r>
        <w:rPr>
          <w:rFonts w:ascii="Times New Roman" w:hAnsi="Times New Roman" w:cs="Times New Roman"/>
        </w:rPr>
        <w:lastRenderedPageBreak/>
        <w:tab/>
        <w:t xml:space="preserve">In the original </w:t>
      </w:r>
      <w:proofErr w:type="spellStart"/>
      <w:r>
        <w:rPr>
          <w:rFonts w:ascii="Times New Roman" w:hAnsi="Times New Roman" w:cs="Times New Roman"/>
        </w:rPr>
        <w:t>GreenLink</w:t>
      </w:r>
      <w:proofErr w:type="spellEnd"/>
      <w:r>
        <w:rPr>
          <w:rFonts w:ascii="Times New Roman" w:hAnsi="Times New Roman" w:cs="Times New Roman"/>
        </w:rPr>
        <w:t xml:space="preserve"> budget proposal, they included the cost of replacing the existing Link Gallery roof surface that would be carried out by Facilities and Services. According to David Akins, one of the projects leads, the </w:t>
      </w:r>
      <w:r w:rsidR="009422D6">
        <w:rPr>
          <w:rFonts w:ascii="Times New Roman" w:hAnsi="Times New Roman" w:cs="Times New Roman"/>
        </w:rPr>
        <w:t xml:space="preserve">original roof was already at the end of its lifespan and was in need of repair. </w:t>
      </w:r>
      <w:r w:rsidR="000A5A18">
        <w:rPr>
          <w:rFonts w:ascii="Times New Roman" w:hAnsi="Times New Roman" w:cs="Times New Roman"/>
        </w:rPr>
        <w:t xml:space="preserve">In their original proposal and budget, Weston Solutions was the vendor of choice. Their plan was to install 360 2ft x 2ft </w:t>
      </w:r>
      <w:proofErr w:type="spellStart"/>
      <w:r w:rsidR="000A5A18">
        <w:rPr>
          <w:rFonts w:ascii="Times New Roman" w:hAnsi="Times New Roman" w:cs="Times New Roman"/>
        </w:rPr>
        <w:t>GreenGrid</w:t>
      </w:r>
      <w:proofErr w:type="spellEnd"/>
      <w:r w:rsidR="000A5A18">
        <w:rPr>
          <w:rFonts w:ascii="Times New Roman" w:hAnsi="Times New Roman" w:cs="Times New Roman"/>
        </w:rPr>
        <w:t xml:space="preserve"> panels with an estimated cost of $17,160. In order to follow through with their goal of collecting and storing rainwater, they proposed to remove the defunct water softener and AC unit </w:t>
      </w:r>
      <w:r w:rsidR="00911D15">
        <w:rPr>
          <w:rFonts w:ascii="Times New Roman" w:hAnsi="Times New Roman" w:cs="Times New Roman"/>
        </w:rPr>
        <w:t>in the Link basement</w:t>
      </w:r>
      <w:r w:rsidR="000A5A18">
        <w:rPr>
          <w:rFonts w:ascii="Times New Roman" w:hAnsi="Times New Roman" w:cs="Times New Roman"/>
        </w:rPr>
        <w:t xml:space="preserve"> and install a </w:t>
      </w:r>
      <w:r w:rsidR="00911D15">
        <w:rPr>
          <w:rFonts w:ascii="Times New Roman" w:hAnsi="Times New Roman" w:cs="Times New Roman"/>
        </w:rPr>
        <w:t>535-gallon</w:t>
      </w:r>
      <w:r w:rsidR="000A5A18">
        <w:rPr>
          <w:rFonts w:ascii="Times New Roman" w:hAnsi="Times New Roman" w:cs="Times New Roman"/>
        </w:rPr>
        <w:t xml:space="preserve"> water tank</w:t>
      </w:r>
      <w:r w:rsidR="00911D15">
        <w:rPr>
          <w:rFonts w:ascii="Times New Roman" w:hAnsi="Times New Roman" w:cs="Times New Roman"/>
        </w:rPr>
        <w:t xml:space="preserve"> that would tie into the existing roof drainpipe. In </w:t>
      </w:r>
      <w:r w:rsidR="002256C9">
        <w:rPr>
          <w:rFonts w:ascii="Times New Roman" w:hAnsi="Times New Roman" w:cs="Times New Roman"/>
        </w:rPr>
        <w:t xml:space="preserve">addition to this, they hoped to replace the second floor window of the Art and Design Building that overlooks the Link Gallery roof to make the space accessible. The total estimated cost in the budget proposal was $91,911. </w:t>
      </w:r>
    </w:p>
    <w:p w14:paraId="3F707D7E" w14:textId="77777777" w:rsidR="003D7DDC" w:rsidRDefault="002256C9" w:rsidP="003D7DDC">
      <w:pPr>
        <w:spacing w:line="480" w:lineRule="auto"/>
        <w:rPr>
          <w:rFonts w:ascii="Times New Roman" w:hAnsi="Times New Roman" w:cs="Times New Roman"/>
        </w:rPr>
      </w:pPr>
      <w:r>
        <w:rPr>
          <w:rFonts w:ascii="Times New Roman" w:hAnsi="Times New Roman" w:cs="Times New Roman"/>
        </w:rPr>
        <w:tab/>
        <w:t>The Student Sustainability Committee provided $63,900 to partially fund this pro</w:t>
      </w:r>
      <w:r w:rsidR="007E3316">
        <w:rPr>
          <w:rFonts w:ascii="Times New Roman" w:hAnsi="Times New Roman" w:cs="Times New Roman"/>
        </w:rPr>
        <w:t>ject with the requirements that the rest of the funding be obtained from Facilities and Services and outreach or publicity indicates the support of the Committee. The funding source was noted to be through the Sustainable Campus Environment Fee. In September 2009, James R. French</w:t>
      </w:r>
      <w:r w:rsidR="0021304D">
        <w:rPr>
          <w:rFonts w:ascii="Times New Roman" w:hAnsi="Times New Roman" w:cs="Times New Roman"/>
        </w:rPr>
        <w:t>, a structural engineer,</w:t>
      </w:r>
      <w:r w:rsidR="007E3316">
        <w:rPr>
          <w:rFonts w:ascii="Times New Roman" w:hAnsi="Times New Roman" w:cs="Times New Roman"/>
        </w:rPr>
        <w:t xml:space="preserve"> performed a structural analysis of the roof to se</w:t>
      </w:r>
      <w:r w:rsidR="00B55586">
        <w:rPr>
          <w:rFonts w:ascii="Times New Roman" w:hAnsi="Times New Roman" w:cs="Times New Roman"/>
        </w:rPr>
        <w:t>e the weight loading of the Link roof</w:t>
      </w:r>
      <w:r w:rsidR="0021304D">
        <w:rPr>
          <w:rFonts w:ascii="Times New Roman" w:hAnsi="Times New Roman" w:cs="Times New Roman"/>
        </w:rPr>
        <w:t xml:space="preserve">. </w:t>
      </w:r>
      <w:proofErr w:type="gramStart"/>
      <w:r w:rsidR="00B55586">
        <w:rPr>
          <w:rFonts w:ascii="Times New Roman" w:hAnsi="Times New Roman" w:cs="Times New Roman"/>
        </w:rPr>
        <w:t>The rainwater collection system was installed by East Central Construction</w:t>
      </w:r>
      <w:proofErr w:type="gramEnd"/>
      <w:r w:rsidR="00B55586">
        <w:rPr>
          <w:rFonts w:ascii="Times New Roman" w:hAnsi="Times New Roman" w:cs="Times New Roman"/>
        </w:rPr>
        <w:t xml:space="preserve"> in May and June of 2009. In April 2010, the roofing was replaced by Facilities and Services and cost $54,900.</w:t>
      </w:r>
      <w:r w:rsidR="0021304D">
        <w:rPr>
          <w:rFonts w:ascii="Times New Roman" w:hAnsi="Times New Roman" w:cs="Times New Roman"/>
        </w:rPr>
        <w:t xml:space="preserve"> At this point, the project requested more funding from the Student Sustainability Committee to account for the additional roof area and in response, the Committee added $3,400 more to the project’s account. In August 2010, the final green roof was installed through Ingram Nursery and Urban </w:t>
      </w:r>
      <w:proofErr w:type="spellStart"/>
      <w:r w:rsidR="0021304D">
        <w:rPr>
          <w:rFonts w:ascii="Times New Roman" w:hAnsi="Times New Roman" w:cs="Times New Roman"/>
        </w:rPr>
        <w:t>Enviroscapes</w:t>
      </w:r>
      <w:proofErr w:type="spellEnd"/>
      <w:r w:rsidR="0021304D">
        <w:rPr>
          <w:rFonts w:ascii="Times New Roman" w:hAnsi="Times New Roman" w:cs="Times New Roman"/>
        </w:rPr>
        <w:t xml:space="preserve"> at a cost of approximately $25,940. </w:t>
      </w:r>
      <w:r w:rsidR="003D7DDC">
        <w:rPr>
          <w:rFonts w:ascii="Times New Roman" w:hAnsi="Times New Roman" w:cs="Times New Roman"/>
        </w:rPr>
        <w:t xml:space="preserve">Urban </w:t>
      </w:r>
      <w:proofErr w:type="spellStart"/>
      <w:r w:rsidR="003D7DDC">
        <w:rPr>
          <w:rFonts w:ascii="Times New Roman" w:hAnsi="Times New Roman" w:cs="Times New Roman"/>
        </w:rPr>
        <w:t>Enviroscapes</w:t>
      </w:r>
      <w:proofErr w:type="spellEnd"/>
      <w:r w:rsidR="003D7DDC">
        <w:rPr>
          <w:rFonts w:ascii="Times New Roman" w:hAnsi="Times New Roman" w:cs="Times New Roman"/>
        </w:rPr>
        <w:t xml:space="preserve"> was a startup company created by Andy Camp, a U</w:t>
      </w:r>
      <w:r w:rsidR="00936B84">
        <w:rPr>
          <w:rFonts w:ascii="Times New Roman" w:hAnsi="Times New Roman" w:cs="Times New Roman"/>
        </w:rPr>
        <w:t>niversity of Illinois graduate. Some changes to the original plan included the exclusion of replacing the second floor window due to safety issues regarding the lack of railings on the roof. Also instead of 360 modules installed, there was enough room for 432 modules.</w:t>
      </w:r>
      <w:r w:rsidR="00936B84" w:rsidRPr="00936B84">
        <w:rPr>
          <w:rFonts w:ascii="Times New Roman" w:hAnsi="Times New Roman" w:cs="Times New Roman"/>
        </w:rPr>
        <w:t xml:space="preserve"> </w:t>
      </w:r>
      <w:r w:rsidR="00936B84">
        <w:rPr>
          <w:rFonts w:ascii="Times New Roman" w:hAnsi="Times New Roman" w:cs="Times New Roman"/>
        </w:rPr>
        <w:t>Compared to the original proposal budget of $91,911, the final cost of the project ended up being $103,600.</w:t>
      </w:r>
    </w:p>
    <w:p w14:paraId="598B30E6" w14:textId="77777777" w:rsidR="00936B84" w:rsidRDefault="00936B84" w:rsidP="003D7DDC">
      <w:pPr>
        <w:spacing w:line="480" w:lineRule="auto"/>
        <w:rPr>
          <w:rFonts w:ascii="Times New Roman" w:hAnsi="Times New Roman" w:cs="Times New Roman"/>
        </w:rPr>
      </w:pPr>
      <w:r>
        <w:rPr>
          <w:rFonts w:ascii="Times New Roman" w:hAnsi="Times New Roman" w:cs="Times New Roman"/>
        </w:rPr>
        <w:tab/>
        <w:t xml:space="preserve">In attempting to assess this project is should be noted </w:t>
      </w:r>
      <w:r w:rsidR="00D31526">
        <w:rPr>
          <w:rFonts w:ascii="Times New Roman" w:hAnsi="Times New Roman" w:cs="Times New Roman"/>
        </w:rPr>
        <w:t>that there has been no maintenance or monitoring since the installation of the green roof in 2010. Ideally, green roofs should be low maintenance but some weeding may be necessary as well as watering during long dry periods. One way in which I am able to assess this project is through LEED certification points of green roofs. There are certain categories in which green roofs can help buildings earn credit towards LEED accreditation. Green roofs can earn credit under 5 of the 6 major categories of LEED accreditation: sustainable site, water efficiency, materials and resources, energy and atmosphere, and innovation and design process. In total, these points can contribute almost 20% of the total points needed to certify</w:t>
      </w:r>
      <w:r w:rsidR="00287BB3">
        <w:rPr>
          <w:rStyle w:val="FootnoteReference"/>
          <w:rFonts w:ascii="Times New Roman" w:hAnsi="Times New Roman" w:cs="Times New Roman"/>
        </w:rPr>
        <w:footnoteReference w:id="2"/>
      </w:r>
      <w:r w:rsidR="00D31526">
        <w:rPr>
          <w:rFonts w:ascii="Times New Roman" w:hAnsi="Times New Roman" w:cs="Times New Roman"/>
        </w:rPr>
        <w:t xml:space="preserve">. While many of these require specific details in order to receive credit for them, I will instead be using them as a general guideline to compare the </w:t>
      </w:r>
      <w:proofErr w:type="spellStart"/>
      <w:r w:rsidR="00D31526">
        <w:rPr>
          <w:rFonts w:ascii="Times New Roman" w:hAnsi="Times New Roman" w:cs="Times New Roman"/>
        </w:rPr>
        <w:t>GreenLink</w:t>
      </w:r>
      <w:proofErr w:type="spellEnd"/>
      <w:r w:rsidR="00D31526">
        <w:rPr>
          <w:rFonts w:ascii="Times New Roman" w:hAnsi="Times New Roman" w:cs="Times New Roman"/>
        </w:rPr>
        <w:t xml:space="preserve"> project to. </w:t>
      </w:r>
    </w:p>
    <w:p w14:paraId="4BDFD77F" w14:textId="77777777" w:rsidR="008B4318" w:rsidRPr="00287BB3" w:rsidRDefault="00D31526" w:rsidP="00287BB3">
      <w:pPr>
        <w:spacing w:line="480" w:lineRule="auto"/>
        <w:jc w:val="both"/>
        <w:rPr>
          <w:rFonts w:ascii="Times New Roman" w:hAnsi="Times New Roman" w:cs="Times New Roman"/>
        </w:rPr>
      </w:pPr>
      <w:r>
        <w:rPr>
          <w:rFonts w:ascii="Times New Roman" w:hAnsi="Times New Roman" w:cs="Times New Roman"/>
        </w:rPr>
        <w:tab/>
      </w:r>
      <w:r w:rsidR="000712DD">
        <w:rPr>
          <w:rFonts w:ascii="Times New Roman" w:hAnsi="Times New Roman" w:cs="Times New Roman"/>
        </w:rPr>
        <w:t xml:space="preserve">Under sustainable site, one can receive up to two points for protecting or restoring habitat and maximizing open space. This includes native or adapted planting, promoting biodiversity, etc. The green roof vegetation was a sedum variety of plant species. These are succulents, have water-storing leaves, and are found throughout the northern hemisphere. I would award the </w:t>
      </w:r>
      <w:proofErr w:type="spellStart"/>
      <w:r w:rsidR="000712DD">
        <w:rPr>
          <w:rFonts w:ascii="Times New Roman" w:hAnsi="Times New Roman" w:cs="Times New Roman"/>
        </w:rPr>
        <w:t>GreenLink</w:t>
      </w:r>
      <w:proofErr w:type="spellEnd"/>
      <w:r w:rsidR="000712DD">
        <w:rPr>
          <w:rFonts w:ascii="Times New Roman" w:hAnsi="Times New Roman" w:cs="Times New Roman"/>
        </w:rPr>
        <w:t xml:space="preserve"> project one point under thi</w:t>
      </w:r>
      <w:r w:rsidR="00A336BD">
        <w:rPr>
          <w:rFonts w:ascii="Times New Roman" w:hAnsi="Times New Roman" w:cs="Times New Roman"/>
        </w:rPr>
        <w:t xml:space="preserve">s since it did restore a certain amount of landscape to an otherwise developed surface. Two points can also be awarded for storm water quantity and quality control. Green roofs can reduce runoff and have the ability to remove suspended solids and other pollutants by being filtered through vegetation. To earn points for </w:t>
      </w:r>
      <w:proofErr w:type="spellStart"/>
      <w:r w:rsidR="00A336BD">
        <w:rPr>
          <w:rFonts w:ascii="Times New Roman" w:hAnsi="Times New Roman" w:cs="Times New Roman"/>
        </w:rPr>
        <w:t>stormwater</w:t>
      </w:r>
      <w:proofErr w:type="spellEnd"/>
      <w:r w:rsidR="00A336BD">
        <w:rPr>
          <w:rFonts w:ascii="Times New Roman" w:hAnsi="Times New Roman" w:cs="Times New Roman"/>
        </w:rPr>
        <w:t xml:space="preserve"> quantity control, the US Green Build</w:t>
      </w:r>
      <w:r w:rsidR="00D5231A">
        <w:rPr>
          <w:rFonts w:ascii="Times New Roman" w:hAnsi="Times New Roman" w:cs="Times New Roman"/>
        </w:rPr>
        <w:t xml:space="preserve">ing Council requires sites to implement a plan that results in a 25% decrease in </w:t>
      </w:r>
      <w:proofErr w:type="spellStart"/>
      <w:r w:rsidR="00D5231A">
        <w:rPr>
          <w:rFonts w:ascii="Times New Roman" w:hAnsi="Times New Roman" w:cs="Times New Roman"/>
        </w:rPr>
        <w:t>stormwater</w:t>
      </w:r>
      <w:proofErr w:type="spellEnd"/>
      <w:r w:rsidR="00D5231A">
        <w:rPr>
          <w:rFonts w:ascii="Times New Roman" w:hAnsi="Times New Roman" w:cs="Times New Roman"/>
        </w:rPr>
        <w:t xml:space="preserve"> runoff. </w:t>
      </w:r>
      <w:r w:rsidR="004933C1">
        <w:rPr>
          <w:rFonts w:ascii="Times New Roman" w:hAnsi="Times New Roman" w:cs="Times New Roman"/>
        </w:rPr>
        <w:t xml:space="preserve">To fully assess the </w:t>
      </w:r>
      <w:proofErr w:type="spellStart"/>
      <w:r w:rsidR="004933C1">
        <w:rPr>
          <w:rFonts w:ascii="Times New Roman" w:hAnsi="Times New Roman" w:cs="Times New Roman"/>
        </w:rPr>
        <w:t>stormwater</w:t>
      </w:r>
      <w:proofErr w:type="spellEnd"/>
      <w:r w:rsidR="004933C1">
        <w:rPr>
          <w:rFonts w:ascii="Times New Roman" w:hAnsi="Times New Roman" w:cs="Times New Roman"/>
        </w:rPr>
        <w:t xml:space="preserve"> runoff reduction qualities, monitoring must be implemented. In addition, a point is rewarded for </w:t>
      </w:r>
      <w:r w:rsidR="00450EDB">
        <w:rPr>
          <w:rFonts w:ascii="Times New Roman" w:hAnsi="Times New Roman" w:cs="Times New Roman"/>
        </w:rPr>
        <w:t xml:space="preserve">management that removes 80% of total suspended solids and 40% of total phosphorus. The BIF green roof is currently being monitored with rain gauges and automated water samplers. </w:t>
      </w:r>
      <w:r w:rsidR="008B4318">
        <w:rPr>
          <w:rFonts w:ascii="Times New Roman" w:hAnsi="Times New Roman" w:cs="Times New Roman"/>
        </w:rPr>
        <w:t>In a preliminary report, it was shown that on October 2009</w:t>
      </w:r>
      <w:r w:rsidR="00287BB3">
        <w:rPr>
          <w:rStyle w:val="FootnoteReference"/>
          <w:rFonts w:ascii="Times New Roman" w:hAnsi="Times New Roman" w:cs="Times New Roman"/>
        </w:rPr>
        <w:footnoteReference w:id="3"/>
      </w:r>
      <w:r w:rsidR="008B4318">
        <w:rPr>
          <w:rFonts w:ascii="Times New Roman" w:hAnsi="Times New Roman" w:cs="Times New Roman"/>
        </w:rPr>
        <w:t xml:space="preserve">, there was </w:t>
      </w:r>
      <w:proofErr w:type="gramStart"/>
      <w:r w:rsidR="008B4318">
        <w:rPr>
          <w:rFonts w:ascii="Times New Roman" w:hAnsi="Times New Roman" w:cs="Times New Roman"/>
        </w:rPr>
        <w:t>a 40</w:t>
      </w:r>
      <w:proofErr w:type="gramEnd"/>
      <w:r w:rsidR="008B4318">
        <w:rPr>
          <w:rFonts w:ascii="Times New Roman" w:hAnsi="Times New Roman" w:cs="Times New Roman"/>
        </w:rPr>
        <w:t xml:space="preserve">% retention in rainwater and a </w:t>
      </w:r>
      <w:proofErr w:type="spellStart"/>
      <w:r w:rsidR="008B4318">
        <w:rPr>
          <w:rFonts w:ascii="Times New Roman" w:hAnsi="Times New Roman" w:cs="Times New Roman"/>
        </w:rPr>
        <w:t>peakflow</w:t>
      </w:r>
      <w:proofErr w:type="spellEnd"/>
      <w:r w:rsidR="008B4318">
        <w:rPr>
          <w:rFonts w:ascii="Times New Roman" w:hAnsi="Times New Roman" w:cs="Times New Roman"/>
        </w:rPr>
        <w:t xml:space="preserve"> reduction of 78% (Figure 1)</w:t>
      </w:r>
      <w:r w:rsidR="00384C9F">
        <w:rPr>
          <w:rFonts w:ascii="Times New Roman" w:hAnsi="Times New Roman" w:cs="Times New Roman"/>
        </w:rPr>
        <w:t>. While</w:t>
      </w:r>
      <w:r w:rsidR="00450EDB">
        <w:rPr>
          <w:rFonts w:ascii="Times New Roman" w:hAnsi="Times New Roman" w:cs="Times New Roman"/>
        </w:rPr>
        <w:t xml:space="preserve"> it is possible that the green roof over Link Gallery reduces runoff rates</w:t>
      </w:r>
      <w:r w:rsidR="006630D5">
        <w:rPr>
          <w:rFonts w:ascii="Times New Roman" w:hAnsi="Times New Roman" w:cs="Times New Roman"/>
        </w:rPr>
        <w:t xml:space="preserve"> and total suspended </w:t>
      </w:r>
      <w:r w:rsidR="00287BB3" w:rsidRPr="008B4318">
        <w:rPr>
          <w:rFonts w:ascii="Times New Roman" w:hAnsi="Times New Roman" w:cs="Times New Roman"/>
          <w:noProof/>
        </w:rPr>
        <w:drawing>
          <wp:anchor distT="0" distB="0" distL="114300" distR="114300" simplePos="0" relativeHeight="251661312" behindDoc="0" locked="0" layoutInCell="1" allowOverlap="1" wp14:anchorId="22B33F1C" wp14:editId="5188EC8A">
            <wp:simplePos x="0" y="0"/>
            <wp:positionH relativeFrom="column">
              <wp:posOffset>2628900</wp:posOffset>
            </wp:positionH>
            <wp:positionV relativeFrom="paragraph">
              <wp:posOffset>4000500</wp:posOffset>
            </wp:positionV>
            <wp:extent cx="2788285" cy="2743200"/>
            <wp:effectExtent l="0" t="0" r="5715" b="0"/>
            <wp:wrapSquare wrapText="bothSides"/>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8">
                      <a:extLst>
                        <a:ext uri="{28A0092B-C50C-407E-A947-70E740481C1C}">
                          <a14:useLocalDpi xmlns:a14="http://schemas.microsoft.com/office/drawing/2010/main" val="0"/>
                        </a:ext>
                      </a:extLst>
                    </a:blip>
                    <a:srcRect r="48" b="4392"/>
                    <a:stretch/>
                  </pic:blipFill>
                  <pic:spPr bwMode="auto">
                    <a:xfrm>
                      <a:off x="0" y="0"/>
                      <a:ext cx="2788285" cy="274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30D5">
        <w:rPr>
          <w:rFonts w:ascii="Times New Roman" w:hAnsi="Times New Roman" w:cs="Times New Roman"/>
        </w:rPr>
        <w:t>solids</w:t>
      </w:r>
      <w:r w:rsidR="00450EDB">
        <w:rPr>
          <w:rFonts w:ascii="Times New Roman" w:hAnsi="Times New Roman" w:cs="Times New Roman"/>
        </w:rPr>
        <w:t xml:space="preserve"> </w:t>
      </w:r>
      <w:r w:rsidR="006630D5">
        <w:rPr>
          <w:rFonts w:ascii="Times New Roman" w:hAnsi="Times New Roman" w:cs="Times New Roman"/>
        </w:rPr>
        <w:t xml:space="preserve">due to vegetation and a filtering rainwater storage system, it is hard to estimate with the lack of proper monitoring. Finally under the sustainable site criteria, it is possible to earn one point for reducing the heat island effect, or the thermal fluctuations that comes with the over mounting impervious rooftop surfaces in cities. The US Green </w:t>
      </w:r>
      <w:r w:rsidR="00287BB3">
        <w:rPr>
          <w:noProof/>
        </w:rPr>
        <mc:AlternateContent>
          <mc:Choice Requires="wps">
            <w:drawing>
              <wp:anchor distT="0" distB="0" distL="114300" distR="114300" simplePos="0" relativeHeight="251663360" behindDoc="0" locked="0" layoutInCell="1" allowOverlap="1" wp14:anchorId="0CE73C08" wp14:editId="1DF6C6D7">
                <wp:simplePos x="0" y="0"/>
                <wp:positionH relativeFrom="column">
                  <wp:posOffset>2698115</wp:posOffset>
                </wp:positionH>
                <wp:positionV relativeFrom="paragraph">
                  <wp:posOffset>6743700</wp:posOffset>
                </wp:positionV>
                <wp:extent cx="2788285" cy="260985"/>
                <wp:effectExtent l="0" t="0" r="5715" b="0"/>
                <wp:wrapSquare wrapText="bothSides"/>
                <wp:docPr id="3" name="Text Box 3"/>
                <wp:cNvGraphicFramePr/>
                <a:graphic xmlns:a="http://schemas.openxmlformats.org/drawingml/2006/main">
                  <a:graphicData uri="http://schemas.microsoft.com/office/word/2010/wordprocessingShape">
                    <wps:wsp>
                      <wps:cNvSpPr txBox="1"/>
                      <wps:spPr>
                        <a:xfrm>
                          <a:off x="0" y="0"/>
                          <a:ext cx="2788285" cy="260985"/>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56B88547" w14:textId="77777777" w:rsidR="00287BB3" w:rsidRPr="00CA2DEF" w:rsidRDefault="00287BB3" w:rsidP="00287BB3">
                            <w:pPr>
                              <w:pStyle w:val="Caption"/>
                              <w:rPr>
                                <w:rFonts w:ascii="Times New Roman" w:hAnsi="Times New Roman" w:cs="Times New Roman"/>
                              </w:rPr>
                            </w:pPr>
                            <w:r>
                              <w:t xml:space="preserve">Figure </w:t>
                            </w:r>
                            <w:fldSimple w:instr=" SEQ Figure \* ARABIC ">
                              <w:r>
                                <w:rPr>
                                  <w:noProof/>
                                </w:rPr>
                                <w:t>1</w:t>
                              </w:r>
                            </w:fldSimple>
                            <w:r>
                              <w:t xml:space="preserve"> BIF </w:t>
                            </w:r>
                            <w:proofErr w:type="spellStart"/>
                            <w:r>
                              <w:t>stormwater</w:t>
                            </w:r>
                            <w:proofErr w:type="spellEnd"/>
                            <w:r>
                              <w:t xml:space="preserve"> runoff for October 2009</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212.45pt;margin-top:531pt;width:219.55pt;height:20.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" stroked="f">
                <v:textbox style="mso-fit-shape-to-text:t" inset="0,0,0,0">
                  <w:txbxContent>
                    <w:p w14:paraId="56B88547" w14:textId="77777777" w:rsidR="00287BB3" w:rsidRPr="00CA2DEF" w:rsidRDefault="00287BB3" w:rsidP="00287BB3">
                      <w:pPr>
                        <w:pStyle w:val="Caption"/>
                        <w:rPr>
                          <w:rFonts w:ascii="Times New Roman" w:hAnsi="Times New Roman" w:cs="Times New Roman"/>
                        </w:rPr>
                      </w:pPr>
                      <w:r>
                        <w:t xml:space="preserve">Figure </w:t>
                      </w:r>
                      <w:fldSimple w:instr=" SEQ Figure \* ARABIC ">
                        <w:r>
                          <w:rPr>
                            <w:noProof/>
                          </w:rPr>
                          <w:t>1</w:t>
                        </w:r>
                      </w:fldSimple>
                      <w:r>
                        <w:t xml:space="preserve"> BIF </w:t>
                      </w:r>
                      <w:proofErr w:type="spellStart"/>
                      <w:r>
                        <w:t>stormwater</w:t>
                      </w:r>
                      <w:proofErr w:type="spellEnd"/>
                      <w:r>
                        <w:t xml:space="preserve"> runoff for October 2009</w:t>
                      </w:r>
                    </w:p>
                  </w:txbxContent>
                </v:textbox>
                <w10:wrap type="square"/>
              </v:shape>
            </w:pict>
          </mc:Fallback>
        </mc:AlternateContent>
      </w:r>
      <w:r w:rsidR="006630D5">
        <w:rPr>
          <w:rFonts w:ascii="Times New Roman" w:hAnsi="Times New Roman" w:cs="Times New Roman"/>
        </w:rPr>
        <w:t xml:space="preserve">Building Council states that a green roof that covers more than half of the roof surface can meet this objective. In this case, the green roof only covers 30% of the entire Link Gallery roof surface. </w:t>
      </w:r>
    </w:p>
    <w:p w14:paraId="655B0B36" w14:textId="77777777" w:rsidR="006630D5" w:rsidRDefault="006630D5" w:rsidP="00450EDB">
      <w:pPr>
        <w:spacing w:line="480" w:lineRule="auto"/>
        <w:rPr>
          <w:rFonts w:ascii="Times New Roman" w:hAnsi="Times New Roman" w:cs="Times New Roman"/>
        </w:rPr>
      </w:pPr>
      <w:r>
        <w:rPr>
          <w:rFonts w:ascii="Times New Roman" w:hAnsi="Times New Roman" w:cs="Times New Roman"/>
        </w:rPr>
        <w:tab/>
        <w:t>Under the category of Water Efficiency, it is possible to earn several points for water efficient land</w:t>
      </w:r>
      <w:r w:rsidR="00D264C5">
        <w:rPr>
          <w:rFonts w:ascii="Times New Roman" w:hAnsi="Times New Roman" w:cs="Times New Roman"/>
        </w:rPr>
        <w:t xml:space="preserve">scaping. This includes reducing potable water consumption for irrigation by 50% or for more points, using only captured rain or recycled site water to eliminate all potable water use for site irrigation. There are two gardens on either side of the Link Gallery space. The plan was for </w:t>
      </w:r>
      <w:r w:rsidR="007974B9">
        <w:rPr>
          <w:rFonts w:ascii="Times New Roman" w:hAnsi="Times New Roman" w:cs="Times New Roman"/>
        </w:rPr>
        <w:t xml:space="preserve">rainwater to be collected in a tank that could then be used to water these gardens. After speaking with David Akins, the pipe system only allowed for the collected rainwater to be used on one of the gardens. Considering how no watering is needed on the green roof, I would say that this is a form of water efficient landscaping and merits a point for reducing potable water by at least 50% for irrigation. </w:t>
      </w:r>
    </w:p>
    <w:p w14:paraId="70C9FBEB" w14:textId="77777777" w:rsidR="007974B9" w:rsidRDefault="007974B9" w:rsidP="00450EDB">
      <w:pPr>
        <w:spacing w:line="480" w:lineRule="auto"/>
        <w:rPr>
          <w:rFonts w:ascii="Times New Roman" w:hAnsi="Times New Roman" w:cs="Times New Roman"/>
        </w:rPr>
      </w:pPr>
      <w:r>
        <w:rPr>
          <w:rFonts w:ascii="Times New Roman" w:hAnsi="Times New Roman" w:cs="Times New Roman"/>
        </w:rPr>
        <w:tab/>
        <w:t xml:space="preserve">LEED offers points for the materials and resources used for building projects. </w:t>
      </w:r>
      <w:r w:rsidR="00791DD3">
        <w:rPr>
          <w:rFonts w:ascii="Times New Roman" w:hAnsi="Times New Roman" w:cs="Times New Roman"/>
        </w:rPr>
        <w:t xml:space="preserve">The greater percentage of recycled content in the materials rewarded different points. There are also points awarded for the percentage of regional materials, or products manufactured within a </w:t>
      </w:r>
      <w:proofErr w:type="gramStart"/>
      <w:r w:rsidR="00791DD3">
        <w:rPr>
          <w:rFonts w:ascii="Times New Roman" w:hAnsi="Times New Roman" w:cs="Times New Roman"/>
        </w:rPr>
        <w:t>500 mile</w:t>
      </w:r>
      <w:proofErr w:type="gramEnd"/>
      <w:r w:rsidR="00791DD3">
        <w:rPr>
          <w:rFonts w:ascii="Times New Roman" w:hAnsi="Times New Roman" w:cs="Times New Roman"/>
        </w:rPr>
        <w:t xml:space="preserve"> radius. </w:t>
      </w:r>
      <w:r w:rsidR="00A74011">
        <w:rPr>
          <w:rFonts w:ascii="Times New Roman" w:hAnsi="Times New Roman" w:cs="Times New Roman"/>
        </w:rPr>
        <w:t xml:space="preserve">The recycled content of the modules from Urban </w:t>
      </w:r>
      <w:proofErr w:type="spellStart"/>
      <w:r w:rsidR="00A74011">
        <w:rPr>
          <w:rFonts w:ascii="Times New Roman" w:hAnsi="Times New Roman" w:cs="Times New Roman"/>
        </w:rPr>
        <w:t>Enviroscapes</w:t>
      </w:r>
      <w:proofErr w:type="spellEnd"/>
      <w:r w:rsidR="00A74011">
        <w:rPr>
          <w:rFonts w:ascii="Times New Roman" w:hAnsi="Times New Roman" w:cs="Times New Roman"/>
        </w:rPr>
        <w:t xml:space="preserve"> was unable to be found. However </w:t>
      </w:r>
      <w:proofErr w:type="spellStart"/>
      <w:r w:rsidR="00C413D2">
        <w:rPr>
          <w:rFonts w:ascii="Times New Roman" w:hAnsi="Times New Roman" w:cs="Times New Roman"/>
        </w:rPr>
        <w:t>GreenLink’s</w:t>
      </w:r>
      <w:proofErr w:type="spellEnd"/>
      <w:r w:rsidR="00C413D2">
        <w:rPr>
          <w:rFonts w:ascii="Times New Roman" w:hAnsi="Times New Roman" w:cs="Times New Roman"/>
        </w:rPr>
        <w:t xml:space="preserve"> original green roof vendor, Weston Solutions, </w:t>
      </w:r>
      <w:r w:rsidR="00A74011">
        <w:rPr>
          <w:rFonts w:ascii="Times New Roman" w:hAnsi="Times New Roman" w:cs="Times New Roman"/>
        </w:rPr>
        <w:t>advertise</w:t>
      </w:r>
      <w:r w:rsidR="00C413D2">
        <w:rPr>
          <w:rFonts w:ascii="Times New Roman" w:hAnsi="Times New Roman" w:cs="Times New Roman"/>
        </w:rPr>
        <w:t xml:space="preserve"> that their </w:t>
      </w:r>
      <w:proofErr w:type="spellStart"/>
      <w:r w:rsidR="00C413D2">
        <w:rPr>
          <w:rFonts w:ascii="Times New Roman" w:hAnsi="Times New Roman" w:cs="Times New Roman"/>
        </w:rPr>
        <w:t>GreenGrid</w:t>
      </w:r>
      <w:proofErr w:type="spellEnd"/>
      <w:r w:rsidR="00C413D2">
        <w:rPr>
          <w:rFonts w:ascii="Times New Roman" w:hAnsi="Times New Roman" w:cs="Times New Roman"/>
        </w:rPr>
        <w:t xml:space="preserve"> modules and growth compost are from both pre-consum</w:t>
      </w:r>
      <w:r w:rsidR="00A74011">
        <w:rPr>
          <w:rFonts w:ascii="Times New Roman" w:hAnsi="Times New Roman" w:cs="Times New Roman"/>
        </w:rPr>
        <w:t xml:space="preserve">er and post-consumer materials. As for regional materials, all the companies that </w:t>
      </w:r>
      <w:proofErr w:type="spellStart"/>
      <w:r w:rsidR="00A74011">
        <w:rPr>
          <w:rFonts w:ascii="Times New Roman" w:hAnsi="Times New Roman" w:cs="Times New Roman"/>
        </w:rPr>
        <w:t>GreenLink</w:t>
      </w:r>
      <w:proofErr w:type="spellEnd"/>
      <w:r w:rsidR="00A74011">
        <w:rPr>
          <w:rFonts w:ascii="Times New Roman" w:hAnsi="Times New Roman" w:cs="Times New Roman"/>
        </w:rPr>
        <w:t xml:space="preserve"> consulted with were regional businesses. Ingram Nursery is based in St. Joseph, </w:t>
      </w:r>
      <w:proofErr w:type="gramStart"/>
      <w:r w:rsidR="00A74011">
        <w:rPr>
          <w:rFonts w:ascii="Times New Roman" w:hAnsi="Times New Roman" w:cs="Times New Roman"/>
        </w:rPr>
        <w:t>Illinois which</w:t>
      </w:r>
      <w:proofErr w:type="gramEnd"/>
      <w:r w:rsidR="00A74011">
        <w:rPr>
          <w:rFonts w:ascii="Times New Roman" w:hAnsi="Times New Roman" w:cs="Times New Roman"/>
        </w:rPr>
        <w:t xml:space="preserve"> is appr</w:t>
      </w:r>
      <w:r w:rsidR="00D33B86">
        <w:rPr>
          <w:rFonts w:ascii="Times New Roman" w:hAnsi="Times New Roman" w:cs="Times New Roman"/>
        </w:rPr>
        <w:t xml:space="preserve">oximately 13 miles from campus. The recycled content and locality of materials used for this specific project are incalculable but are important factors in a life cycle analysis of a green roof which will be touched on further below. </w:t>
      </w:r>
    </w:p>
    <w:p w14:paraId="0FD25664" w14:textId="77777777" w:rsidR="000C687E" w:rsidRDefault="00D33B86" w:rsidP="00450EDB">
      <w:pPr>
        <w:spacing w:line="480" w:lineRule="auto"/>
        <w:rPr>
          <w:rFonts w:ascii="Times New Roman" w:hAnsi="Times New Roman" w:cs="Times New Roman"/>
        </w:rPr>
      </w:pPr>
      <w:r>
        <w:rPr>
          <w:rFonts w:ascii="Times New Roman" w:hAnsi="Times New Roman" w:cs="Times New Roman"/>
        </w:rPr>
        <w:tab/>
        <w:t xml:space="preserve">The energy and atmosphere category under the LEED certification is where points are given on the optimizing energy performance of a building. A green roof </w:t>
      </w:r>
      <w:r w:rsidR="003B4D24">
        <w:rPr>
          <w:rFonts w:ascii="Times New Roman" w:hAnsi="Times New Roman" w:cs="Times New Roman"/>
        </w:rPr>
        <w:t xml:space="preserve">can reduce the energy demand of a building since the vegetation can act as a thermal barrier. Vegetated roof surfaces as compared to conventional roofs are cooler due to latent heat loss and increased solar reflectivity. </w:t>
      </w:r>
      <w:r w:rsidR="00F055C0">
        <w:rPr>
          <w:rFonts w:ascii="Times New Roman" w:hAnsi="Times New Roman" w:cs="Times New Roman"/>
        </w:rPr>
        <w:t>The Chicago City Hall green roof on average year-round is 7 degrees cooler than its surrounding roofs and as much as 30 degrees cooler in the summer</w:t>
      </w:r>
      <w:r w:rsidR="00384C9F">
        <w:rPr>
          <w:rStyle w:val="FootnoteReference"/>
          <w:rFonts w:ascii="Times New Roman" w:hAnsi="Times New Roman" w:cs="Times New Roman"/>
        </w:rPr>
        <w:footnoteReference w:id="4"/>
      </w:r>
      <w:r w:rsidR="00F055C0">
        <w:rPr>
          <w:rFonts w:ascii="Times New Roman" w:hAnsi="Times New Roman" w:cs="Times New Roman"/>
        </w:rPr>
        <w:t>. Lee et al. estimated a green roof savings of anywhere between 0.17 kWh/ft</w:t>
      </w:r>
      <w:r w:rsidR="00F055C0">
        <w:rPr>
          <w:rFonts w:ascii="Times New Roman" w:hAnsi="Times New Roman" w:cs="Times New Roman"/>
          <w:vertAlign w:val="superscript"/>
        </w:rPr>
        <w:t>2</w:t>
      </w:r>
      <w:r w:rsidR="00F055C0">
        <w:rPr>
          <w:rFonts w:ascii="Times New Roman" w:hAnsi="Times New Roman" w:cs="Times New Roman"/>
        </w:rPr>
        <w:t xml:space="preserve"> to 0.63 kWh/ft</w:t>
      </w:r>
      <w:r w:rsidR="00F055C0">
        <w:rPr>
          <w:rFonts w:ascii="Times New Roman" w:hAnsi="Times New Roman" w:cs="Times New Roman"/>
          <w:vertAlign w:val="superscript"/>
        </w:rPr>
        <w:t>2</w:t>
      </w:r>
      <w:r w:rsidR="00F055C0">
        <w:rPr>
          <w:rFonts w:ascii="Times New Roman" w:hAnsi="Times New Roman" w:cs="Times New Roman"/>
        </w:rPr>
        <w:t xml:space="preserve"> in cooling energy and a savings of 0.02 </w:t>
      </w:r>
      <w:proofErr w:type="spellStart"/>
      <w:r w:rsidR="00F055C0">
        <w:rPr>
          <w:rFonts w:ascii="Times New Roman" w:hAnsi="Times New Roman" w:cs="Times New Roman"/>
        </w:rPr>
        <w:t>t</w:t>
      </w:r>
      <w:r w:rsidR="00AA63E3">
        <w:rPr>
          <w:rFonts w:ascii="Times New Roman" w:hAnsi="Times New Roman" w:cs="Times New Roman"/>
        </w:rPr>
        <w:t>h</w:t>
      </w:r>
      <w:r w:rsidR="00F055C0">
        <w:rPr>
          <w:rFonts w:ascii="Times New Roman" w:hAnsi="Times New Roman" w:cs="Times New Roman"/>
        </w:rPr>
        <w:t>erms</w:t>
      </w:r>
      <w:proofErr w:type="spellEnd"/>
      <w:r w:rsidR="00F055C0">
        <w:rPr>
          <w:rFonts w:ascii="Times New Roman" w:hAnsi="Times New Roman" w:cs="Times New Roman"/>
        </w:rPr>
        <w:t>/ft</w:t>
      </w:r>
      <w:r w:rsidR="00F055C0">
        <w:rPr>
          <w:rFonts w:ascii="Times New Roman" w:hAnsi="Times New Roman" w:cs="Times New Roman"/>
          <w:vertAlign w:val="superscript"/>
        </w:rPr>
        <w:t>2</w:t>
      </w:r>
      <w:r w:rsidR="00F055C0">
        <w:rPr>
          <w:rFonts w:ascii="Times New Roman" w:hAnsi="Times New Roman" w:cs="Times New Roman"/>
        </w:rPr>
        <w:t xml:space="preserve"> in heating energy</w:t>
      </w:r>
      <w:r w:rsidR="00384C9F">
        <w:rPr>
          <w:rStyle w:val="FootnoteReference"/>
          <w:rFonts w:ascii="Times New Roman" w:hAnsi="Times New Roman" w:cs="Times New Roman"/>
        </w:rPr>
        <w:footnoteReference w:id="5"/>
      </w:r>
      <w:r w:rsidR="00F055C0">
        <w:rPr>
          <w:rFonts w:ascii="Times New Roman" w:hAnsi="Times New Roman" w:cs="Times New Roman"/>
        </w:rPr>
        <w:t>. The approximate coverage area of the Link green roof is 1,728 ft</w:t>
      </w:r>
      <w:r w:rsidR="00F055C0">
        <w:rPr>
          <w:rFonts w:ascii="Times New Roman" w:hAnsi="Times New Roman" w:cs="Times New Roman"/>
          <w:vertAlign w:val="superscript"/>
        </w:rPr>
        <w:t>2</w:t>
      </w:r>
      <w:r w:rsidR="00AA63E3">
        <w:rPr>
          <w:rFonts w:ascii="Times New Roman" w:hAnsi="Times New Roman" w:cs="Times New Roman"/>
        </w:rPr>
        <w:t xml:space="preserve">. </w:t>
      </w:r>
      <w:r w:rsidR="00CD36D0">
        <w:rPr>
          <w:rFonts w:ascii="Times New Roman" w:hAnsi="Times New Roman" w:cs="Times New Roman"/>
        </w:rPr>
        <w:t>These numbers are highly dependent on a variety of factors such as growing medium type and depth, plant coverage, building characteristics, and weather conditions. However u</w:t>
      </w:r>
      <w:r w:rsidR="00AA63E3">
        <w:rPr>
          <w:rFonts w:ascii="Times New Roman" w:hAnsi="Times New Roman" w:cs="Times New Roman"/>
        </w:rPr>
        <w:t xml:space="preserve">sing Lee et al.’s averages, we get an approximate energy savings from the Link green roof of 691.2 kWh in cooling energy and 34.6 </w:t>
      </w:r>
      <w:proofErr w:type="spellStart"/>
      <w:r w:rsidR="00AA63E3">
        <w:rPr>
          <w:rFonts w:ascii="Times New Roman" w:hAnsi="Times New Roman" w:cs="Times New Roman"/>
        </w:rPr>
        <w:t>therms</w:t>
      </w:r>
      <w:proofErr w:type="spellEnd"/>
      <w:r w:rsidR="00AA63E3">
        <w:rPr>
          <w:rFonts w:ascii="Times New Roman" w:hAnsi="Times New Roman" w:cs="Times New Roman"/>
        </w:rPr>
        <w:t xml:space="preserve"> of natural gas heating energy. </w:t>
      </w:r>
      <w:r w:rsidR="00123BF2">
        <w:rPr>
          <w:rFonts w:ascii="Times New Roman" w:hAnsi="Times New Roman" w:cs="Times New Roman"/>
        </w:rPr>
        <w:t>I was unable to extend this analysis for cooling savings since data for building chilled water usage started towards the end of the 2013 fiscal year</w:t>
      </w:r>
      <w:r w:rsidR="00384C9F">
        <w:rPr>
          <w:rStyle w:val="FootnoteReference"/>
          <w:rFonts w:ascii="Times New Roman" w:hAnsi="Times New Roman" w:cs="Times New Roman"/>
        </w:rPr>
        <w:footnoteReference w:id="6"/>
      </w:r>
      <w:r w:rsidR="00123BF2">
        <w:rPr>
          <w:rFonts w:ascii="Times New Roman" w:hAnsi="Times New Roman" w:cs="Times New Roman"/>
        </w:rPr>
        <w:t xml:space="preserve">. </w:t>
      </w:r>
      <w:r w:rsidR="00A16CD9">
        <w:rPr>
          <w:rFonts w:ascii="Times New Roman" w:hAnsi="Times New Roman" w:cs="Times New Roman"/>
        </w:rPr>
        <w:t xml:space="preserve">In terms of heating, the Art and Design building steam consumption data is in </w:t>
      </w:r>
      <w:proofErr w:type="spellStart"/>
      <w:r w:rsidR="00A16CD9">
        <w:rPr>
          <w:rFonts w:ascii="Times New Roman" w:hAnsi="Times New Roman" w:cs="Times New Roman"/>
        </w:rPr>
        <w:t>kilopounds</w:t>
      </w:r>
      <w:proofErr w:type="spellEnd"/>
      <w:r w:rsidR="00A16CD9">
        <w:rPr>
          <w:rFonts w:ascii="Times New Roman" w:hAnsi="Times New Roman" w:cs="Times New Roman"/>
        </w:rPr>
        <w:t xml:space="preserve"> (KBL), thus 34.6 </w:t>
      </w:r>
      <w:proofErr w:type="spellStart"/>
      <w:r w:rsidR="00A16CD9">
        <w:rPr>
          <w:rFonts w:ascii="Times New Roman" w:hAnsi="Times New Roman" w:cs="Times New Roman"/>
        </w:rPr>
        <w:t>therms</w:t>
      </w:r>
      <w:proofErr w:type="spellEnd"/>
      <w:r w:rsidR="00A16CD9">
        <w:rPr>
          <w:rFonts w:ascii="Times New Roman" w:hAnsi="Times New Roman" w:cs="Times New Roman"/>
        </w:rPr>
        <w:t xml:space="preserve"> to steam </w:t>
      </w:r>
      <w:r w:rsidR="008F7B46">
        <w:rPr>
          <w:rFonts w:ascii="Times New Roman" w:hAnsi="Times New Roman" w:cs="Times New Roman"/>
        </w:rPr>
        <w:t xml:space="preserve">pounds would be 3326.9 steam </w:t>
      </w:r>
      <w:proofErr w:type="spellStart"/>
      <w:r w:rsidR="008F7B46">
        <w:rPr>
          <w:rFonts w:ascii="Times New Roman" w:hAnsi="Times New Roman" w:cs="Times New Roman"/>
        </w:rPr>
        <w:t>lbs</w:t>
      </w:r>
      <w:proofErr w:type="spellEnd"/>
      <w:r w:rsidR="00A16CD9">
        <w:rPr>
          <w:rFonts w:ascii="Times New Roman" w:hAnsi="Times New Roman" w:cs="Times New Roman"/>
        </w:rPr>
        <w:t xml:space="preserve"> or 3.</w:t>
      </w:r>
      <w:r w:rsidR="008F7B46">
        <w:rPr>
          <w:rFonts w:ascii="Times New Roman" w:hAnsi="Times New Roman" w:cs="Times New Roman"/>
        </w:rPr>
        <w:t xml:space="preserve">33 </w:t>
      </w:r>
      <w:proofErr w:type="spellStart"/>
      <w:r w:rsidR="008F7B46">
        <w:rPr>
          <w:rFonts w:ascii="Times New Roman" w:hAnsi="Times New Roman" w:cs="Times New Roman"/>
        </w:rPr>
        <w:t>klbs</w:t>
      </w:r>
      <w:proofErr w:type="spellEnd"/>
      <w:r w:rsidR="008F7B46">
        <w:rPr>
          <w:rFonts w:ascii="Times New Roman" w:hAnsi="Times New Roman" w:cs="Times New Roman"/>
        </w:rPr>
        <w:t>. Steam consumption data for the Art and Design building date back to the 2009 fiscal year and avera</w:t>
      </w:r>
      <w:r w:rsidR="009E2553">
        <w:rPr>
          <w:rFonts w:ascii="Times New Roman" w:hAnsi="Times New Roman" w:cs="Times New Roman"/>
        </w:rPr>
        <w:t xml:space="preserve">ges around 9,652.31 </w:t>
      </w:r>
      <w:proofErr w:type="spellStart"/>
      <w:r w:rsidR="009E2553">
        <w:rPr>
          <w:rFonts w:ascii="Times New Roman" w:hAnsi="Times New Roman" w:cs="Times New Roman"/>
        </w:rPr>
        <w:t>klbs</w:t>
      </w:r>
      <w:proofErr w:type="spellEnd"/>
      <w:r w:rsidR="009E2553">
        <w:rPr>
          <w:rFonts w:ascii="Times New Roman" w:hAnsi="Times New Roman" w:cs="Times New Roman"/>
        </w:rPr>
        <w:t>/year. Since the green roofs installation in August 2010, there is noticeable downward trend from the fiscal years 2010 to 2012</w:t>
      </w:r>
      <w:r w:rsidR="00287BB3">
        <w:rPr>
          <w:rFonts w:ascii="Times New Roman" w:hAnsi="Times New Roman" w:cs="Times New Roman"/>
        </w:rPr>
        <w:t xml:space="preserve"> (Figure 2</w:t>
      </w:r>
      <w:r w:rsidR="000C687E">
        <w:rPr>
          <w:rFonts w:ascii="Times New Roman" w:hAnsi="Times New Roman" w:cs="Times New Roman"/>
        </w:rPr>
        <w:t>)</w:t>
      </w:r>
      <w:r w:rsidR="009E2553">
        <w:rPr>
          <w:rFonts w:ascii="Times New Roman" w:hAnsi="Times New Roman" w:cs="Times New Roman"/>
        </w:rPr>
        <w:t xml:space="preserve">. However confounding factors such as </w:t>
      </w:r>
      <w:r w:rsidR="00CD36D0">
        <w:rPr>
          <w:rFonts w:ascii="Times New Roman" w:hAnsi="Times New Roman" w:cs="Times New Roman"/>
        </w:rPr>
        <w:t xml:space="preserve">HVAC retrofits or just the replacement of the roof itself could have contributed to this. </w:t>
      </w:r>
      <w:r w:rsidR="009E2553">
        <w:rPr>
          <w:rFonts w:ascii="Times New Roman" w:hAnsi="Times New Roman" w:cs="Times New Roman"/>
        </w:rPr>
        <w:t xml:space="preserve">Based on these calculations it is unclear whether the addition of this green roof has significantly contributed to </w:t>
      </w:r>
      <w:proofErr w:type="gramStart"/>
      <w:r w:rsidR="009E2553">
        <w:rPr>
          <w:rFonts w:ascii="Times New Roman" w:hAnsi="Times New Roman" w:cs="Times New Roman"/>
        </w:rPr>
        <w:t>reduced</w:t>
      </w:r>
      <w:proofErr w:type="gramEnd"/>
      <w:r w:rsidR="009E2553">
        <w:rPr>
          <w:rFonts w:ascii="Times New Roman" w:hAnsi="Times New Roman" w:cs="Times New Roman"/>
        </w:rPr>
        <w:t xml:space="preserve"> heating and cooling needs </w:t>
      </w:r>
      <w:r w:rsidR="00CD36D0">
        <w:rPr>
          <w:rFonts w:ascii="Times New Roman" w:hAnsi="Times New Roman" w:cs="Times New Roman"/>
        </w:rPr>
        <w:t xml:space="preserve">due to a lack of baseline usage data as well as other confounding improvements on the buildings. The data is also split between </w:t>
      </w:r>
      <w:r w:rsidR="00287BB3">
        <w:rPr>
          <w:noProof/>
        </w:rPr>
        <w:drawing>
          <wp:anchor distT="0" distB="0" distL="114300" distR="114300" simplePos="0" relativeHeight="251658240" behindDoc="0" locked="0" layoutInCell="1" allowOverlap="1" wp14:anchorId="1F36E7F8" wp14:editId="186DE1F9">
            <wp:simplePos x="0" y="0"/>
            <wp:positionH relativeFrom="margin">
              <wp:posOffset>114300</wp:posOffset>
            </wp:positionH>
            <wp:positionV relativeFrom="paragraph">
              <wp:posOffset>2857500</wp:posOffset>
            </wp:positionV>
            <wp:extent cx="5029200" cy="2514600"/>
            <wp:effectExtent l="0" t="0" r="25400" b="2540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CD36D0">
        <w:rPr>
          <w:rFonts w:ascii="Times New Roman" w:hAnsi="Times New Roman" w:cs="Times New Roman"/>
        </w:rPr>
        <w:t xml:space="preserve">the Art and Design building and the </w:t>
      </w:r>
      <w:proofErr w:type="spellStart"/>
      <w:r w:rsidR="00CD36D0">
        <w:rPr>
          <w:rFonts w:ascii="Times New Roman" w:hAnsi="Times New Roman" w:cs="Times New Roman"/>
        </w:rPr>
        <w:t>Krannert</w:t>
      </w:r>
      <w:proofErr w:type="spellEnd"/>
      <w:r w:rsidR="00CD36D0">
        <w:rPr>
          <w:rFonts w:ascii="Times New Roman" w:hAnsi="Times New Roman" w:cs="Times New Roman"/>
        </w:rPr>
        <w:t xml:space="preserve"> Art Museum so it is unclear where the Link space falls under. </w:t>
      </w:r>
    </w:p>
    <w:p w14:paraId="13490316" w14:textId="77777777" w:rsidR="00E936F2" w:rsidRDefault="00E936F2" w:rsidP="00450EDB">
      <w:pPr>
        <w:spacing w:line="480" w:lineRule="auto"/>
        <w:rPr>
          <w:rFonts w:ascii="Times New Roman" w:hAnsi="Times New Roman" w:cs="Times New Roman"/>
        </w:rPr>
      </w:pPr>
      <w:r>
        <w:rPr>
          <w:noProof/>
        </w:rPr>
        <mc:AlternateContent>
          <mc:Choice Requires="wps">
            <w:drawing>
              <wp:anchor distT="0" distB="0" distL="114300" distR="114300" simplePos="0" relativeHeight="251660288" behindDoc="0" locked="0" layoutInCell="1" allowOverlap="1" wp14:anchorId="4A82CEDE" wp14:editId="17470A72">
                <wp:simplePos x="0" y="0"/>
                <wp:positionH relativeFrom="column">
                  <wp:posOffset>114300</wp:posOffset>
                </wp:positionH>
                <wp:positionV relativeFrom="paragraph">
                  <wp:posOffset>2567940</wp:posOffset>
                </wp:positionV>
                <wp:extent cx="5029200" cy="260985"/>
                <wp:effectExtent l="0" t="0" r="0" b="0"/>
                <wp:wrapThrough wrapText="bothSides">
                  <wp:wrapPolygon edited="0">
                    <wp:start x="0" y="0"/>
                    <wp:lineTo x="0" y="18920"/>
                    <wp:lineTo x="21491" y="18920"/>
                    <wp:lineTo x="21491" y="0"/>
                    <wp:lineTo x="0" y="0"/>
                  </wp:wrapPolygon>
                </wp:wrapThrough>
                <wp:docPr id="2" name="Text Box 2"/>
                <wp:cNvGraphicFramePr/>
                <a:graphic xmlns:a="http://schemas.openxmlformats.org/drawingml/2006/main">
                  <a:graphicData uri="http://schemas.microsoft.com/office/word/2010/wordprocessingShape">
                    <wps:wsp>
                      <wps:cNvSpPr txBox="1"/>
                      <wps:spPr>
                        <a:xfrm>
                          <a:off x="0" y="0"/>
                          <a:ext cx="5029200" cy="260985"/>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3626E93F" w14:textId="77777777" w:rsidR="00287BB3" w:rsidRPr="00354317" w:rsidRDefault="00287BB3" w:rsidP="008B4318">
                            <w:pPr>
                              <w:pStyle w:val="Caption"/>
                              <w:rPr>
                                <w:rFonts w:ascii="Times New Roman" w:hAnsi="Times New Roman" w:cs="Times New Roman"/>
                              </w:rPr>
                            </w:pPr>
                            <w:r>
                              <w:t xml:space="preserve">Figure 2. Art and </w:t>
                            </w:r>
                            <w:proofErr w:type="gramStart"/>
                            <w:r>
                              <w:t>Design  building</w:t>
                            </w:r>
                            <w:proofErr w:type="gramEnd"/>
                            <w:r>
                              <w:t xml:space="preserve"> steam consumption data by fiscal year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2" o:spid="_x0000_s1027" type="#_x0000_t202" style="position:absolute;margin-left:9pt;margin-top:202.2pt;width:396pt;height:20.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" stroked="f">
                <v:textbox style="mso-fit-shape-to-text:t" inset="0,0,0,0">
                  <w:txbxContent>
                    <w:p w14:paraId="3626E93F" w14:textId="77777777" w:rsidR="00287BB3" w:rsidRPr="00354317" w:rsidRDefault="00287BB3" w:rsidP="008B4318">
                      <w:pPr>
                        <w:pStyle w:val="Caption"/>
                        <w:rPr>
                          <w:rFonts w:ascii="Times New Roman" w:hAnsi="Times New Roman" w:cs="Times New Roman"/>
                        </w:rPr>
                      </w:pPr>
                      <w:r>
                        <w:t xml:space="preserve">Figure 2. Art and </w:t>
                      </w:r>
                      <w:proofErr w:type="gramStart"/>
                      <w:r>
                        <w:t>Design  building</w:t>
                      </w:r>
                      <w:proofErr w:type="gramEnd"/>
                      <w:r>
                        <w:t xml:space="preserve"> steam consumption data by fiscal year</w:t>
                      </w:r>
                    </w:p>
                  </w:txbxContent>
                </v:textbox>
                <w10:wrap type="through"/>
              </v:shape>
            </w:pict>
          </mc:Fallback>
        </mc:AlternateContent>
      </w:r>
    </w:p>
    <w:p w14:paraId="730824C7" w14:textId="77777777" w:rsidR="004F4659" w:rsidRDefault="00CD36D0" w:rsidP="00450EDB">
      <w:pPr>
        <w:spacing w:line="480" w:lineRule="auto"/>
        <w:rPr>
          <w:rFonts w:ascii="Times New Roman" w:hAnsi="Times New Roman" w:cs="Times New Roman"/>
        </w:rPr>
      </w:pPr>
      <w:r>
        <w:rPr>
          <w:rFonts w:ascii="Times New Roman" w:hAnsi="Times New Roman" w:cs="Times New Roman"/>
        </w:rPr>
        <w:tab/>
        <w:t>Finally, LEED awards points for innovation and the design process. Projects can receive up to four points for improving workplace environment, creating an educational laboratory, or a recreational</w:t>
      </w:r>
      <w:r w:rsidR="00306F93">
        <w:rPr>
          <w:rFonts w:ascii="Times New Roman" w:hAnsi="Times New Roman" w:cs="Times New Roman"/>
        </w:rPr>
        <w:t xml:space="preserve"> space. Green roofs have the ability to serve all of these functions. Intensive green roofs can be accessible by people and can act as a recreational green space as well as improving workplace environments. Green roofs are also a great opportunity for research. A great example of this is the </w:t>
      </w:r>
      <w:r w:rsidR="00004C27">
        <w:rPr>
          <w:rFonts w:ascii="Times New Roman" w:hAnsi="Times New Roman" w:cs="Times New Roman"/>
        </w:rPr>
        <w:t xml:space="preserve">monitoring and modeling of the green roof on the Business Instructional Facility.  In relation to the </w:t>
      </w:r>
      <w:proofErr w:type="spellStart"/>
      <w:r w:rsidR="00004C27">
        <w:rPr>
          <w:rFonts w:ascii="Times New Roman" w:hAnsi="Times New Roman" w:cs="Times New Roman"/>
        </w:rPr>
        <w:t>GreenLink</w:t>
      </w:r>
      <w:proofErr w:type="spellEnd"/>
      <w:r w:rsidR="00004C27">
        <w:rPr>
          <w:rFonts w:ascii="Times New Roman" w:hAnsi="Times New Roman" w:cs="Times New Roman"/>
        </w:rPr>
        <w:t xml:space="preserve"> project, an educational impact was the integration of sustainability in two Art and Design courses, ARTD 299 and ARTD 499, in 2009. It is also arguable that the green roof improves the educational environment since it is a highly visible space from the second and third floors of the Art and Design Building. Due to this, I believe that this is where </w:t>
      </w:r>
      <w:proofErr w:type="spellStart"/>
      <w:r w:rsidR="00004C27">
        <w:rPr>
          <w:rFonts w:ascii="Times New Roman" w:hAnsi="Times New Roman" w:cs="Times New Roman"/>
        </w:rPr>
        <w:t>GreenLink</w:t>
      </w:r>
      <w:proofErr w:type="spellEnd"/>
      <w:r w:rsidR="00004C27">
        <w:rPr>
          <w:rFonts w:ascii="Times New Roman" w:hAnsi="Times New Roman" w:cs="Times New Roman"/>
        </w:rPr>
        <w:t xml:space="preserve"> derives most of its strengths from as a project. </w:t>
      </w:r>
    </w:p>
    <w:p w14:paraId="1A77D291" w14:textId="77777777" w:rsidR="00E936F2" w:rsidRPr="00E936F2" w:rsidRDefault="00E936F2" w:rsidP="00DF1881">
      <w:pPr>
        <w:spacing w:line="480" w:lineRule="auto"/>
        <w:jc w:val="center"/>
        <w:rPr>
          <w:rFonts w:ascii="Times New Roman" w:hAnsi="Times New Roman" w:cs="Times New Roman"/>
          <w:u w:val="single"/>
        </w:rPr>
      </w:pPr>
      <w:r w:rsidRPr="00E936F2">
        <w:rPr>
          <w:rFonts w:ascii="Times New Roman" w:hAnsi="Times New Roman" w:cs="Times New Roman"/>
          <w:u w:val="single"/>
        </w:rPr>
        <w:t>Conclusion</w:t>
      </w:r>
      <w:r w:rsidR="008B666A">
        <w:rPr>
          <w:rFonts w:ascii="Times New Roman" w:hAnsi="Times New Roman" w:cs="Times New Roman"/>
          <w:u w:val="single"/>
        </w:rPr>
        <w:t xml:space="preserve"> and Further Considerations</w:t>
      </w:r>
    </w:p>
    <w:p w14:paraId="01D5CA4A" w14:textId="77777777" w:rsidR="00B442A1" w:rsidRDefault="00E936F2" w:rsidP="00B442A1">
      <w:pPr>
        <w:spacing w:line="480" w:lineRule="auto"/>
        <w:rPr>
          <w:rFonts w:ascii="Times New Roman" w:hAnsi="Times New Roman" w:cs="Times New Roman"/>
        </w:rPr>
      </w:pPr>
      <w:r>
        <w:rPr>
          <w:rFonts w:ascii="Times New Roman" w:hAnsi="Times New Roman" w:cs="Times New Roman"/>
        </w:rPr>
        <w:tab/>
        <w:t>After speaking extensively with my contact, I got the impression th</w:t>
      </w:r>
      <w:r w:rsidR="00DF1881">
        <w:rPr>
          <w:rFonts w:ascii="Times New Roman" w:hAnsi="Times New Roman" w:cs="Times New Roman"/>
        </w:rPr>
        <w:t xml:space="preserve">at there were many obstacles to the success of this project. When the structural engineer first performed a roof analysis, it was then apparent that there were several safety issues involved with the lack of railings or ridges along the edges. This would complicate the process since it meant that maintenance of the green roof would have to be overseen by third party landscapers rather than Facilities and </w:t>
      </w:r>
      <w:proofErr w:type="gramStart"/>
      <w:r w:rsidR="00DF1881">
        <w:rPr>
          <w:rFonts w:ascii="Times New Roman" w:hAnsi="Times New Roman" w:cs="Times New Roman"/>
        </w:rPr>
        <w:t>Services which</w:t>
      </w:r>
      <w:proofErr w:type="gramEnd"/>
      <w:r w:rsidR="00DF1881">
        <w:rPr>
          <w:rFonts w:ascii="Times New Roman" w:hAnsi="Times New Roman" w:cs="Times New Roman"/>
        </w:rPr>
        <w:t xml:space="preserve"> would come at an additional cost to the university. The safety issues of the roof also meant that the second floor window overlooking the Link Gallery roof could not be constructed. The design of the hinged window was, as I was told, a collaborative </w:t>
      </w:r>
      <w:r w:rsidR="00AB2EEB">
        <w:rPr>
          <w:rFonts w:ascii="Times New Roman" w:hAnsi="Times New Roman" w:cs="Times New Roman"/>
        </w:rPr>
        <w:t xml:space="preserve">effort between Architecture and Art and Design students. </w:t>
      </w:r>
    </w:p>
    <w:p w14:paraId="01BE228C" w14:textId="77777777" w:rsidR="008B666A" w:rsidRDefault="00AB2EEB" w:rsidP="008B666A">
      <w:pPr>
        <w:spacing w:line="480" w:lineRule="auto"/>
        <w:ind w:firstLine="720"/>
        <w:rPr>
          <w:rFonts w:ascii="Times New Roman" w:hAnsi="Times New Roman" w:cs="Times New Roman"/>
        </w:rPr>
      </w:pPr>
      <w:r>
        <w:rPr>
          <w:rFonts w:ascii="Times New Roman" w:hAnsi="Times New Roman" w:cs="Times New Roman"/>
        </w:rPr>
        <w:t xml:space="preserve">I also had an issue trying to contact Andy Camp from Urban </w:t>
      </w:r>
      <w:proofErr w:type="spellStart"/>
      <w:r>
        <w:rPr>
          <w:rFonts w:ascii="Times New Roman" w:hAnsi="Times New Roman" w:cs="Times New Roman"/>
        </w:rPr>
        <w:t>Enviroscapes</w:t>
      </w:r>
      <w:proofErr w:type="spellEnd"/>
      <w:r>
        <w:rPr>
          <w:rFonts w:ascii="Times New Roman" w:hAnsi="Times New Roman" w:cs="Times New Roman"/>
        </w:rPr>
        <w:t xml:space="preserve">, the startup company used for the green roof modules. I would have loved to speak with him further about the green grid module design and construction in order to do a full life cycle analysis of the project. </w:t>
      </w:r>
      <w:r w:rsidR="00B442A1">
        <w:rPr>
          <w:rFonts w:ascii="Times New Roman" w:hAnsi="Times New Roman" w:cs="Times New Roman"/>
        </w:rPr>
        <w:t>The decision to cho</w:t>
      </w:r>
      <w:r w:rsidR="000B351C">
        <w:rPr>
          <w:rFonts w:ascii="Times New Roman" w:hAnsi="Times New Roman" w:cs="Times New Roman"/>
        </w:rPr>
        <w:t>o</w:t>
      </w:r>
      <w:r w:rsidR="00B442A1">
        <w:rPr>
          <w:rFonts w:ascii="Times New Roman" w:hAnsi="Times New Roman" w:cs="Times New Roman"/>
        </w:rPr>
        <w:t xml:space="preserve">se Urban </w:t>
      </w:r>
      <w:proofErr w:type="spellStart"/>
      <w:r w:rsidR="00B442A1">
        <w:rPr>
          <w:rFonts w:ascii="Times New Roman" w:hAnsi="Times New Roman" w:cs="Times New Roman"/>
        </w:rPr>
        <w:t>Enviroscapes</w:t>
      </w:r>
      <w:proofErr w:type="spellEnd"/>
      <w:r w:rsidR="00B442A1">
        <w:rPr>
          <w:rFonts w:ascii="Times New Roman" w:hAnsi="Times New Roman" w:cs="Times New Roman"/>
        </w:rPr>
        <w:t xml:space="preserve"> over their original vendor, West</w:t>
      </w:r>
      <w:r w:rsidR="000B351C">
        <w:rPr>
          <w:rFonts w:ascii="Times New Roman" w:hAnsi="Times New Roman" w:cs="Times New Roman"/>
        </w:rPr>
        <w:t xml:space="preserve">on Solutions, was likely made because they wished to support a University of Illinois graduate’s startup that showed much potential. It is unfortunate that this company did not pan out because they were also a part of another proposal for a green roof over the </w:t>
      </w:r>
      <w:proofErr w:type="spellStart"/>
      <w:r w:rsidR="000B351C">
        <w:rPr>
          <w:rFonts w:ascii="Times New Roman" w:hAnsi="Times New Roman" w:cs="Times New Roman"/>
        </w:rPr>
        <w:t>Krannert</w:t>
      </w:r>
      <w:proofErr w:type="spellEnd"/>
      <w:r w:rsidR="000B351C">
        <w:rPr>
          <w:rFonts w:ascii="Times New Roman" w:hAnsi="Times New Roman" w:cs="Times New Roman"/>
        </w:rPr>
        <w:t xml:space="preserve"> Center for the Performing Arts. As noted in this other green roof proposal, the company began when the founders won a sustainability case competition in Seoul, South Korea. </w:t>
      </w:r>
    </w:p>
    <w:p w14:paraId="76400809" w14:textId="77777777" w:rsidR="00AB2EEB" w:rsidRDefault="000B351C" w:rsidP="000B351C">
      <w:pPr>
        <w:spacing w:line="480" w:lineRule="auto"/>
        <w:ind w:firstLine="720"/>
        <w:rPr>
          <w:rFonts w:ascii="Times New Roman" w:hAnsi="Times New Roman" w:cs="Times New Roman"/>
        </w:rPr>
      </w:pPr>
      <w:r>
        <w:rPr>
          <w:rFonts w:ascii="Times New Roman" w:hAnsi="Times New Roman" w:cs="Times New Roman"/>
        </w:rPr>
        <w:t>While Weston Solutions may have c</w:t>
      </w:r>
      <w:r w:rsidR="008B666A">
        <w:rPr>
          <w:rFonts w:ascii="Times New Roman" w:hAnsi="Times New Roman" w:cs="Times New Roman"/>
        </w:rPr>
        <w:t xml:space="preserve">ome at a higher cost, they also have more experience behind them. Their operations are transparent which gives consumers confidence in their products. In addition to this, they have a commitment to </w:t>
      </w:r>
      <w:r w:rsidR="00885330">
        <w:rPr>
          <w:rFonts w:ascii="Times New Roman" w:hAnsi="Times New Roman" w:cs="Times New Roman"/>
        </w:rPr>
        <w:t xml:space="preserve">meeting the demands for sustainable building and roofing solutions today, in order to meet tomorrow’s environmental challenges. They partner with a variety of universities to conduct research and evaluate the efficacy of green roof systems through measurable scientific means. This is also in their best interest since through this research they are able to constantly adapt and optimize their green roofs for the most impact. </w:t>
      </w:r>
    </w:p>
    <w:p w14:paraId="1181346F" w14:textId="77777777" w:rsidR="001F2945" w:rsidRDefault="001F2945" w:rsidP="000B351C">
      <w:pPr>
        <w:spacing w:line="480" w:lineRule="auto"/>
        <w:ind w:firstLine="720"/>
        <w:rPr>
          <w:rFonts w:ascii="Times New Roman" w:hAnsi="Times New Roman" w:cs="Times New Roman"/>
        </w:rPr>
      </w:pPr>
      <w:r>
        <w:rPr>
          <w:rFonts w:ascii="Times New Roman" w:hAnsi="Times New Roman" w:cs="Times New Roman"/>
        </w:rPr>
        <w:t xml:space="preserve">While this project may have not been successful in some aspects, I want to emphasize that this shouldn’t deter the University of Illinois from investing in further green roof operations. A green roof may come at a higher initial cost but it is guaranteed that if executed right, there will be a return on investment in the long run. A 2006 University of Michigan study found that over a green roof’s lifespan there would be a return 64.5% greater than the initial cost. </w:t>
      </w:r>
      <w:r w:rsidR="00CD3F11">
        <w:rPr>
          <w:rFonts w:ascii="Times New Roman" w:hAnsi="Times New Roman" w:cs="Times New Roman"/>
        </w:rPr>
        <w:t xml:space="preserve">These savings include reduced heating and cooling costs as well as the extended lifespan of green roofs versus conventional roofs. Conventional roofs have a lifespan of 10 to 15 years while an extensive green roof can have a life span of up to 50 years. There are also a variety of other benefits of green roofs that have been studied such as lowered air pollution to storm runoff reduction. In a full lifecycle impact analysis of a conventional roof versus extensive and intensive green roofs, </w:t>
      </w:r>
      <w:proofErr w:type="spellStart"/>
      <w:r w:rsidR="00CD3F11">
        <w:rPr>
          <w:rFonts w:ascii="Times New Roman" w:hAnsi="Times New Roman" w:cs="Times New Roman"/>
        </w:rPr>
        <w:t>Kosareo</w:t>
      </w:r>
      <w:proofErr w:type="spellEnd"/>
      <w:r w:rsidR="00CD3F11">
        <w:rPr>
          <w:rFonts w:ascii="Times New Roman" w:hAnsi="Times New Roman" w:cs="Times New Roman"/>
        </w:rPr>
        <w:t xml:space="preserve"> found that an extensive roof would have about half the impact of a conventional roof</w:t>
      </w:r>
      <w:r w:rsidR="00384C9F">
        <w:rPr>
          <w:rStyle w:val="FootnoteReference"/>
          <w:rFonts w:ascii="Times New Roman" w:hAnsi="Times New Roman" w:cs="Times New Roman"/>
        </w:rPr>
        <w:footnoteReference w:id="7"/>
      </w:r>
      <w:r w:rsidR="00736CDD">
        <w:rPr>
          <w:rFonts w:ascii="Times New Roman" w:hAnsi="Times New Roman" w:cs="Times New Roman"/>
        </w:rPr>
        <w:t xml:space="preserve">. The intensive green roof had the least impact in its life cycle analysis and only amounted to one-tenth of the impact of the conventional roof (Figure 3). These life cycle analyses include the resources extracted in production, impacts on human health, and ecosystem quality. </w:t>
      </w:r>
    </w:p>
    <w:p w14:paraId="24C53934" w14:textId="77777777" w:rsidR="00E03C54" w:rsidRDefault="00E03C54" w:rsidP="00E03C54">
      <w:pPr>
        <w:keepNext/>
        <w:spacing w:line="480" w:lineRule="auto"/>
        <w:ind w:firstLine="720"/>
      </w:pPr>
      <w:r w:rsidRPr="00E03C54">
        <w:rPr>
          <w:rFonts w:ascii="Times New Roman" w:hAnsi="Times New Roman" w:cs="Times New Roman"/>
          <w:noProof/>
        </w:rPr>
        <w:drawing>
          <wp:inline distT="0" distB="0" distL="0" distR="0" wp14:anchorId="1B686B31" wp14:editId="0FE4FDFC">
            <wp:extent cx="4491817" cy="2599455"/>
            <wp:effectExtent l="0" t="0" r="444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0"/>
                    <a:stretch>
                      <a:fillRect/>
                    </a:stretch>
                  </pic:blipFill>
                  <pic:spPr>
                    <a:xfrm>
                      <a:off x="0" y="0"/>
                      <a:ext cx="4491817" cy="2599455"/>
                    </a:xfrm>
                    <a:prstGeom prst="rect">
                      <a:avLst/>
                    </a:prstGeom>
                  </pic:spPr>
                </pic:pic>
              </a:graphicData>
            </a:graphic>
          </wp:inline>
        </w:drawing>
      </w:r>
    </w:p>
    <w:p w14:paraId="3D30402E" w14:textId="77777777" w:rsidR="00E03C54" w:rsidRDefault="00E03C54" w:rsidP="00E03C54">
      <w:pPr>
        <w:pStyle w:val="Caption"/>
        <w:rPr>
          <w:rFonts w:ascii="Times New Roman" w:hAnsi="Times New Roman" w:cs="Times New Roman"/>
        </w:rPr>
      </w:pPr>
      <w:r>
        <w:t xml:space="preserve">Figure 3.  </w:t>
      </w:r>
      <w:proofErr w:type="spellStart"/>
      <w:r>
        <w:t>Kosareo</w:t>
      </w:r>
      <w:proofErr w:type="spellEnd"/>
      <w:r>
        <w:t xml:space="preserve"> 2007, Eco-indicator 99 life cycle impact single score results for roof alternatives. </w:t>
      </w:r>
    </w:p>
    <w:p w14:paraId="7F1AF8B4" w14:textId="77777777" w:rsidR="00241196" w:rsidRDefault="00736CDD" w:rsidP="00241196">
      <w:pPr>
        <w:spacing w:line="480" w:lineRule="auto"/>
        <w:ind w:firstLine="720"/>
        <w:rPr>
          <w:rFonts w:ascii="Times New Roman" w:hAnsi="Times New Roman" w:cs="Times New Roman"/>
        </w:rPr>
      </w:pPr>
      <w:r>
        <w:rPr>
          <w:rFonts w:ascii="Times New Roman" w:hAnsi="Times New Roman" w:cs="Times New Roman"/>
        </w:rPr>
        <w:t>In order for future successes with green roofs, below are some considerations. A green roof is a commitment despite being touted as low-maintenance.  Occasional weeding may be required and thus should be expected. Consulting reputable companies may add to the success of fut</w:t>
      </w:r>
      <w:r w:rsidR="00474860">
        <w:rPr>
          <w:rFonts w:ascii="Times New Roman" w:hAnsi="Times New Roman" w:cs="Times New Roman"/>
        </w:rPr>
        <w:t xml:space="preserve">ure green roof projects. From the LEED certification system, it’s clear that green roofs that cover more than half of a building’s roof surface will have the most impact. In initiating future green roof projects, goals should be set for continuous management and monitoring. Being </w:t>
      </w:r>
      <w:r w:rsidR="006B53EC">
        <w:rPr>
          <w:rFonts w:ascii="Times New Roman" w:hAnsi="Times New Roman" w:cs="Times New Roman"/>
        </w:rPr>
        <w:t xml:space="preserve">an educational institution that leads </w:t>
      </w:r>
      <w:r w:rsidR="00474860">
        <w:rPr>
          <w:rFonts w:ascii="Times New Roman" w:hAnsi="Times New Roman" w:cs="Times New Roman"/>
        </w:rPr>
        <w:t>by example, the University of Illinois has great potential</w:t>
      </w:r>
      <w:r w:rsidR="006B53EC">
        <w:rPr>
          <w:rFonts w:ascii="Times New Roman" w:hAnsi="Times New Roman" w:cs="Times New Roman"/>
        </w:rPr>
        <w:t xml:space="preserve"> in building a body of literature and filling in the gaps of knowledge about green roofs. This can be achie</w:t>
      </w:r>
      <w:r w:rsidR="00CD2D76">
        <w:rPr>
          <w:rFonts w:ascii="Times New Roman" w:hAnsi="Times New Roman" w:cs="Times New Roman"/>
        </w:rPr>
        <w:t xml:space="preserve">ved by using green roofs as an </w:t>
      </w:r>
      <w:r w:rsidR="006B53EC">
        <w:rPr>
          <w:rFonts w:ascii="Times New Roman" w:hAnsi="Times New Roman" w:cs="Times New Roman"/>
        </w:rPr>
        <w:t>o</w:t>
      </w:r>
      <w:r w:rsidR="00CD2D76">
        <w:rPr>
          <w:rFonts w:ascii="Times New Roman" w:hAnsi="Times New Roman" w:cs="Times New Roman"/>
        </w:rPr>
        <w:t xml:space="preserve">pportunity for long-term collaborative learning. Horticulture could provide insight into the species composition that would be best for green roofs. Natural Resources &amp; Environmental Sciences could study soil composition and drainage, or ways in which green roofs can provide habitat for species. The College of Architecture and Landscape Architecture could be valuable in piecing together design and functionality of green roofs. </w:t>
      </w:r>
    </w:p>
    <w:p w14:paraId="48C402FB" w14:textId="77777777" w:rsidR="00933195" w:rsidRPr="005411DB" w:rsidRDefault="00980361" w:rsidP="005411DB">
      <w:pPr>
        <w:spacing w:line="480" w:lineRule="auto"/>
        <w:ind w:firstLine="720"/>
        <w:rPr>
          <w:rFonts w:ascii="Times New Roman" w:hAnsi="Times New Roman" w:cs="Times New Roman"/>
        </w:rPr>
      </w:pPr>
      <w:r>
        <w:rPr>
          <w:rFonts w:ascii="Times New Roman" w:hAnsi="Times New Roman" w:cs="Times New Roman"/>
        </w:rPr>
        <w:t xml:space="preserve">Monitoring is also crucial for future green roofs because if we cannot measure the effects of these projects we cannot calculate the benefits. If we cannot put the benefits in metrics, there is no way we can learn from these projects and incorporate how they impacted the University of Illinois goal of carbon neutrality by 2050. </w:t>
      </w:r>
      <w:r w:rsidR="00E7507C">
        <w:rPr>
          <w:rFonts w:ascii="Times New Roman" w:hAnsi="Times New Roman" w:cs="Times New Roman"/>
        </w:rPr>
        <w:t>Green roofs have much potential</w:t>
      </w:r>
      <w:r w:rsidR="00241196">
        <w:rPr>
          <w:rFonts w:ascii="Times New Roman" w:hAnsi="Times New Roman" w:cs="Times New Roman"/>
        </w:rPr>
        <w:t xml:space="preserve"> in addressing a multitude of issues the University is working to solve due to their multiplicative benefits. They have the ability to reduce a building’s energy demand. Less steam and cooled water means less coal and natural gas needed and thus less GHG emissions. The benefit of </w:t>
      </w:r>
      <w:proofErr w:type="spellStart"/>
      <w:r w:rsidR="00241196">
        <w:rPr>
          <w:rFonts w:ascii="Times New Roman" w:hAnsi="Times New Roman" w:cs="Times New Roman"/>
        </w:rPr>
        <w:t>stormwater</w:t>
      </w:r>
      <w:proofErr w:type="spellEnd"/>
      <w:r w:rsidR="00241196">
        <w:rPr>
          <w:rFonts w:ascii="Times New Roman" w:hAnsi="Times New Roman" w:cs="Times New Roman"/>
        </w:rPr>
        <w:t xml:space="preserve"> runoff reductions </w:t>
      </w:r>
      <w:r w:rsidR="00460728">
        <w:rPr>
          <w:rFonts w:ascii="Times New Roman" w:hAnsi="Times New Roman" w:cs="Times New Roman"/>
        </w:rPr>
        <w:t xml:space="preserve">and filtering out pollutants </w:t>
      </w:r>
      <w:r w:rsidR="00241196">
        <w:rPr>
          <w:rFonts w:ascii="Times New Roman" w:hAnsi="Times New Roman" w:cs="Times New Roman"/>
        </w:rPr>
        <w:t xml:space="preserve">means less water is being </w:t>
      </w:r>
      <w:r w:rsidR="00460728">
        <w:rPr>
          <w:rFonts w:ascii="Times New Roman" w:hAnsi="Times New Roman" w:cs="Times New Roman"/>
        </w:rPr>
        <w:t xml:space="preserve">supplied to the sewage system and reduces the demand of treating the water. One takeaway from </w:t>
      </w:r>
      <w:proofErr w:type="spellStart"/>
      <w:r w:rsidR="00460728">
        <w:rPr>
          <w:rFonts w:ascii="Times New Roman" w:hAnsi="Times New Roman" w:cs="Times New Roman"/>
        </w:rPr>
        <w:t>GreenLink</w:t>
      </w:r>
      <w:proofErr w:type="spellEnd"/>
      <w:r w:rsidR="00460728">
        <w:rPr>
          <w:rFonts w:ascii="Times New Roman" w:hAnsi="Times New Roman" w:cs="Times New Roman"/>
        </w:rPr>
        <w:t xml:space="preserve"> that I think could be utilized elsewhere on campus is the collection of rainwater and utilizing it for non-potable uses. This is cost efficient and sustainable since this collected water could replace tap water where it is allowable. </w:t>
      </w:r>
      <w:r w:rsidR="00E03C54">
        <w:rPr>
          <w:rFonts w:ascii="Times New Roman" w:hAnsi="Times New Roman" w:cs="Times New Roman"/>
        </w:rPr>
        <w:t xml:space="preserve">In this instance, they use it to water the gardens. This can be expanded to replacing toilet water and even using </w:t>
      </w:r>
      <w:proofErr w:type="spellStart"/>
      <w:r w:rsidR="00E03C54">
        <w:rPr>
          <w:rFonts w:ascii="Times New Roman" w:hAnsi="Times New Roman" w:cs="Times New Roman"/>
        </w:rPr>
        <w:t>greywater</w:t>
      </w:r>
      <w:proofErr w:type="spellEnd"/>
      <w:r w:rsidR="00E03C54">
        <w:rPr>
          <w:rFonts w:ascii="Times New Roman" w:hAnsi="Times New Roman" w:cs="Times New Roman"/>
        </w:rPr>
        <w:t xml:space="preserve"> for heating and cooling needs. </w:t>
      </w:r>
      <w:r w:rsidR="00736CDD">
        <w:rPr>
          <w:rFonts w:ascii="Times New Roman" w:hAnsi="Times New Roman" w:cs="Times New Roman"/>
        </w:rPr>
        <w:t xml:space="preserve">From this </w:t>
      </w:r>
      <w:r w:rsidR="00E03C54">
        <w:rPr>
          <w:rFonts w:ascii="Times New Roman" w:hAnsi="Times New Roman" w:cs="Times New Roman"/>
        </w:rPr>
        <w:t>analysis,</w:t>
      </w:r>
      <w:r w:rsidR="00736CDD">
        <w:rPr>
          <w:rFonts w:ascii="Times New Roman" w:hAnsi="Times New Roman" w:cs="Times New Roman"/>
        </w:rPr>
        <w:t xml:space="preserve"> I hope the U</w:t>
      </w:r>
      <w:r w:rsidR="00E03C54">
        <w:rPr>
          <w:rFonts w:ascii="Times New Roman" w:hAnsi="Times New Roman" w:cs="Times New Roman"/>
        </w:rPr>
        <w:t>niversity of Illinois will continue to see green roofs as a viable option and consider investing in future green roof projects.</w:t>
      </w:r>
      <w:bookmarkStart w:id="0" w:name="_GoBack"/>
      <w:bookmarkEnd w:id="0"/>
    </w:p>
    <w:sectPr w:rsidR="00933195" w:rsidRPr="005411DB" w:rsidSect="000A5FA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A5B921" w14:textId="77777777" w:rsidR="00287BB3" w:rsidRDefault="00287BB3" w:rsidP="00EA5983">
      <w:r>
        <w:separator/>
      </w:r>
    </w:p>
  </w:endnote>
  <w:endnote w:type="continuationSeparator" w:id="0">
    <w:p w14:paraId="6B9DF501" w14:textId="77777777" w:rsidR="00287BB3" w:rsidRDefault="00287BB3" w:rsidP="00EA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07573" w14:textId="77777777" w:rsidR="00287BB3" w:rsidRDefault="00287BB3" w:rsidP="00EA5983">
      <w:r>
        <w:separator/>
      </w:r>
    </w:p>
  </w:footnote>
  <w:footnote w:type="continuationSeparator" w:id="0">
    <w:p w14:paraId="4C98AC50" w14:textId="77777777" w:rsidR="00287BB3" w:rsidRDefault="00287BB3" w:rsidP="00EA5983">
      <w:r>
        <w:continuationSeparator/>
      </w:r>
    </w:p>
  </w:footnote>
  <w:footnote w:id="1">
    <w:p w14:paraId="3B1A8156" w14:textId="77777777" w:rsidR="00287BB3" w:rsidRDefault="00287BB3">
      <w:pPr>
        <w:pStyle w:val="FootnoteText"/>
      </w:pPr>
      <w:r>
        <w:rPr>
          <w:rStyle w:val="FootnoteReference"/>
        </w:rPr>
        <w:footnoteRef/>
      </w:r>
      <w:r>
        <w:t xml:space="preserve"> </w:t>
      </w:r>
      <w:r w:rsidRPr="00384C9F">
        <w:rPr>
          <w:rFonts w:ascii="Times New Roman" w:eastAsia="Times New Roman" w:hAnsi="Times New Roman"/>
          <w:color w:val="222222"/>
          <w:sz w:val="20"/>
          <w:shd w:val="clear" w:color="auto" w:fill="FFFFFF"/>
        </w:rPr>
        <w:t xml:space="preserve">The original </w:t>
      </w:r>
      <w:proofErr w:type="spellStart"/>
      <w:r w:rsidRPr="00384C9F">
        <w:rPr>
          <w:rFonts w:ascii="Times New Roman" w:eastAsia="Times New Roman" w:hAnsi="Times New Roman"/>
          <w:color w:val="222222"/>
          <w:sz w:val="20"/>
          <w:shd w:val="clear" w:color="auto" w:fill="FFFFFF"/>
        </w:rPr>
        <w:t>GreenLink</w:t>
      </w:r>
      <w:proofErr w:type="spellEnd"/>
      <w:r w:rsidRPr="00384C9F">
        <w:rPr>
          <w:rFonts w:ascii="Times New Roman" w:eastAsia="Times New Roman" w:hAnsi="Times New Roman"/>
          <w:color w:val="222222"/>
          <w:sz w:val="20"/>
          <w:shd w:val="clear" w:color="auto" w:fill="FFFFFF"/>
        </w:rPr>
        <w:t xml:space="preserve"> Proposal can be found via the </w:t>
      </w:r>
      <w:proofErr w:type="spellStart"/>
      <w:r w:rsidRPr="00384C9F">
        <w:rPr>
          <w:rFonts w:ascii="Times New Roman" w:eastAsia="Times New Roman" w:hAnsi="Times New Roman"/>
          <w:color w:val="222222"/>
          <w:sz w:val="20"/>
          <w:shd w:val="clear" w:color="auto" w:fill="FFFFFF"/>
        </w:rPr>
        <w:t>iCAP</w:t>
      </w:r>
      <w:proofErr w:type="spellEnd"/>
      <w:r w:rsidRPr="00384C9F">
        <w:rPr>
          <w:rFonts w:ascii="Times New Roman" w:eastAsia="Times New Roman" w:hAnsi="Times New Roman"/>
          <w:color w:val="222222"/>
          <w:sz w:val="20"/>
          <w:shd w:val="clear" w:color="auto" w:fill="FFFFFF"/>
        </w:rPr>
        <w:t xml:space="preserve"> portal.</w:t>
      </w:r>
    </w:p>
  </w:footnote>
  <w:footnote w:id="2">
    <w:p w14:paraId="02E08927" w14:textId="77777777" w:rsidR="00287BB3" w:rsidRPr="00287BB3" w:rsidRDefault="00287BB3" w:rsidP="00287BB3">
      <w:pPr>
        <w:pStyle w:val="NormalWeb"/>
        <w:spacing w:before="0" w:beforeAutospacing="0" w:after="0" w:afterAutospacing="0"/>
        <w:ind w:left="450" w:right="75" w:hanging="450"/>
        <w:rPr>
          <w:rFonts w:ascii="Times New Roman" w:hAnsi="Times New Roman"/>
          <w:color w:val="000000"/>
          <w:szCs w:val="24"/>
        </w:rPr>
      </w:pPr>
      <w:r w:rsidRPr="00287BB3">
        <w:rPr>
          <w:rStyle w:val="FootnoteReference"/>
          <w:rFonts w:ascii="Times New Roman" w:hAnsi="Times New Roman"/>
        </w:rPr>
        <w:footnoteRef/>
      </w:r>
      <w:r w:rsidRPr="00287BB3">
        <w:rPr>
          <w:rFonts w:ascii="Times New Roman" w:hAnsi="Times New Roman"/>
        </w:rPr>
        <w:t xml:space="preserve"> </w:t>
      </w:r>
      <w:r w:rsidRPr="00287BB3">
        <w:rPr>
          <w:rFonts w:ascii="Times New Roman" w:hAnsi="Times New Roman"/>
          <w:color w:val="000000"/>
          <w:szCs w:val="24"/>
        </w:rPr>
        <w:t xml:space="preserve">"How </w:t>
      </w:r>
      <w:proofErr w:type="spellStart"/>
      <w:r w:rsidRPr="00287BB3">
        <w:rPr>
          <w:rFonts w:ascii="Times New Roman" w:hAnsi="Times New Roman"/>
          <w:color w:val="000000"/>
          <w:szCs w:val="24"/>
        </w:rPr>
        <w:t>GreenGrid</w:t>
      </w:r>
      <w:proofErr w:type="spellEnd"/>
      <w:r w:rsidRPr="00287BB3">
        <w:rPr>
          <w:rFonts w:ascii="Times New Roman" w:hAnsi="Times New Roman"/>
          <w:color w:val="000000"/>
          <w:szCs w:val="24"/>
        </w:rPr>
        <w:t xml:space="preserve"> Contributes to LEED Certification."</w:t>
      </w:r>
      <w:r w:rsidRPr="00287BB3">
        <w:rPr>
          <w:rStyle w:val="apple-converted-space"/>
          <w:rFonts w:ascii="Times New Roman" w:hAnsi="Times New Roman"/>
          <w:color w:val="000000"/>
          <w:szCs w:val="24"/>
        </w:rPr>
        <w:t> </w:t>
      </w:r>
      <w:proofErr w:type="spellStart"/>
      <w:r w:rsidRPr="00287BB3">
        <w:rPr>
          <w:rStyle w:val="Emphasis"/>
          <w:rFonts w:ascii="Times New Roman" w:hAnsi="Times New Roman"/>
          <w:color w:val="000000"/>
          <w:szCs w:val="24"/>
        </w:rPr>
        <w:t>GreenGrid</w:t>
      </w:r>
      <w:proofErr w:type="spellEnd"/>
      <w:r w:rsidRPr="00287BB3">
        <w:rPr>
          <w:rStyle w:val="Emphasis"/>
          <w:rFonts w:ascii="Times New Roman" w:hAnsi="Times New Roman"/>
          <w:color w:val="000000"/>
          <w:szCs w:val="24"/>
        </w:rPr>
        <w:t xml:space="preserve"> Roofs</w:t>
      </w:r>
      <w:r w:rsidRPr="00287BB3">
        <w:rPr>
          <w:rFonts w:ascii="Times New Roman" w:hAnsi="Times New Roman"/>
          <w:color w:val="000000"/>
          <w:szCs w:val="24"/>
        </w:rPr>
        <w:t xml:space="preserve">. Weston Solutions, Inc., </w:t>
      </w:r>
      <w:proofErr w:type="spellStart"/>
      <w:r w:rsidRPr="00287BB3">
        <w:rPr>
          <w:rFonts w:ascii="Times New Roman" w:hAnsi="Times New Roman"/>
          <w:color w:val="000000"/>
          <w:szCs w:val="24"/>
        </w:rPr>
        <w:t>n.d.</w:t>
      </w:r>
      <w:proofErr w:type="spellEnd"/>
      <w:r w:rsidRPr="00287BB3">
        <w:rPr>
          <w:rFonts w:ascii="Times New Roman" w:hAnsi="Times New Roman"/>
          <w:color w:val="000000"/>
          <w:szCs w:val="24"/>
        </w:rPr>
        <w:t xml:space="preserve"> Web. 3 May 2014. &lt;http://www.westonsolutions.com/pdf_docs/B-GG-3-LEED.pdf&gt;.</w:t>
      </w:r>
    </w:p>
  </w:footnote>
  <w:footnote w:id="3">
    <w:p w14:paraId="7AFA4686" w14:textId="77777777" w:rsidR="00287BB3" w:rsidRPr="00287BB3" w:rsidRDefault="00287BB3" w:rsidP="00287BB3">
      <w:pPr>
        <w:ind w:left="720" w:hanging="720"/>
        <w:rPr>
          <w:rFonts w:ascii="Times New Roman" w:eastAsia="Times New Roman" w:hAnsi="Times New Roman" w:cs="Times New Roman"/>
          <w:color w:val="222222"/>
          <w:sz w:val="20"/>
          <w:shd w:val="clear" w:color="auto" w:fill="FFFFFF"/>
        </w:rPr>
      </w:pPr>
      <w:r w:rsidRPr="00287BB3">
        <w:rPr>
          <w:rStyle w:val="FootnoteReference"/>
          <w:rFonts w:ascii="Times New Roman" w:hAnsi="Times New Roman" w:cs="Times New Roman"/>
        </w:rPr>
        <w:footnoteRef/>
      </w:r>
      <w:r w:rsidRPr="00287BB3">
        <w:rPr>
          <w:rFonts w:ascii="Times New Roman" w:hAnsi="Times New Roman" w:cs="Times New Roman"/>
        </w:rPr>
        <w:t xml:space="preserve"> </w:t>
      </w:r>
      <w:r w:rsidRPr="00287BB3">
        <w:rPr>
          <w:rFonts w:ascii="Times New Roman" w:eastAsia="Times New Roman" w:hAnsi="Times New Roman" w:cs="Times New Roman"/>
          <w:color w:val="222222"/>
          <w:sz w:val="20"/>
          <w:shd w:val="clear" w:color="auto" w:fill="FFFFFF"/>
        </w:rPr>
        <w:t xml:space="preserve">Bolton, Brad, Nathaniel Hanna-Holloway, and Arthur R. Schmidt. </w:t>
      </w:r>
      <w:proofErr w:type="spellStart"/>
      <w:r w:rsidRPr="00287BB3">
        <w:rPr>
          <w:rFonts w:ascii="Times New Roman" w:eastAsia="Times New Roman" w:hAnsi="Times New Roman" w:cs="Times New Roman"/>
          <w:color w:val="222222"/>
          <w:sz w:val="20"/>
          <w:shd w:val="clear" w:color="auto" w:fill="FFFFFF"/>
        </w:rPr>
        <w:t>Monitering</w:t>
      </w:r>
      <w:proofErr w:type="spellEnd"/>
      <w:r w:rsidRPr="00287BB3">
        <w:rPr>
          <w:rFonts w:ascii="Times New Roman" w:eastAsia="Times New Roman" w:hAnsi="Times New Roman" w:cs="Times New Roman"/>
          <w:color w:val="222222"/>
          <w:sz w:val="20"/>
          <w:shd w:val="clear" w:color="auto" w:fill="FFFFFF"/>
        </w:rPr>
        <w:t xml:space="preserve"> and Modeling of Green Roof on Business Instructional Facility. Illinois Floods. </w:t>
      </w:r>
      <w:proofErr w:type="gramStart"/>
      <w:r w:rsidRPr="00287BB3">
        <w:rPr>
          <w:rFonts w:ascii="Times New Roman" w:eastAsia="Times New Roman" w:hAnsi="Times New Roman" w:cs="Times New Roman"/>
          <w:color w:val="222222"/>
          <w:sz w:val="20"/>
          <w:shd w:val="clear" w:color="auto" w:fill="FFFFFF"/>
        </w:rPr>
        <w:t xml:space="preserve">Illinois Association for Floodplain and </w:t>
      </w:r>
      <w:proofErr w:type="spellStart"/>
      <w:r w:rsidRPr="00287BB3">
        <w:rPr>
          <w:rFonts w:ascii="Times New Roman" w:eastAsia="Times New Roman" w:hAnsi="Times New Roman" w:cs="Times New Roman"/>
          <w:color w:val="222222"/>
          <w:sz w:val="20"/>
          <w:shd w:val="clear" w:color="auto" w:fill="FFFFFF"/>
        </w:rPr>
        <w:t>Stormwater</w:t>
      </w:r>
      <w:proofErr w:type="spellEnd"/>
      <w:r w:rsidRPr="00287BB3">
        <w:rPr>
          <w:rFonts w:ascii="Times New Roman" w:eastAsia="Times New Roman" w:hAnsi="Times New Roman" w:cs="Times New Roman"/>
          <w:color w:val="222222"/>
          <w:sz w:val="20"/>
          <w:shd w:val="clear" w:color="auto" w:fill="FFFFFF"/>
        </w:rPr>
        <w:t xml:space="preserve"> Management, </w:t>
      </w:r>
      <w:proofErr w:type="spellStart"/>
      <w:r w:rsidRPr="00287BB3">
        <w:rPr>
          <w:rFonts w:ascii="Times New Roman" w:eastAsia="Times New Roman" w:hAnsi="Times New Roman" w:cs="Times New Roman"/>
          <w:color w:val="222222"/>
          <w:sz w:val="20"/>
          <w:shd w:val="clear" w:color="auto" w:fill="FFFFFF"/>
        </w:rPr>
        <w:t>n.d.</w:t>
      </w:r>
      <w:proofErr w:type="spellEnd"/>
      <w:r w:rsidRPr="00287BB3">
        <w:rPr>
          <w:rFonts w:ascii="Times New Roman" w:eastAsia="Times New Roman" w:hAnsi="Times New Roman" w:cs="Times New Roman"/>
          <w:color w:val="222222"/>
          <w:sz w:val="20"/>
          <w:shd w:val="clear" w:color="auto" w:fill="FFFFFF"/>
        </w:rPr>
        <w:t xml:space="preserve"> Web.</w:t>
      </w:r>
      <w:proofErr w:type="gramEnd"/>
      <w:r w:rsidRPr="00287BB3">
        <w:rPr>
          <w:rFonts w:ascii="Times New Roman" w:eastAsia="Times New Roman" w:hAnsi="Times New Roman" w:cs="Times New Roman"/>
          <w:color w:val="222222"/>
          <w:sz w:val="20"/>
          <w:shd w:val="clear" w:color="auto" w:fill="FFFFFF"/>
        </w:rPr>
        <w:t xml:space="preserve"> 08 Apr. 2014. &lt;http://www.illinoisfloods.org/documents/Grant_Program/UIUC_IAFSM_Report_April-2010.pdf&gt;.</w:t>
      </w:r>
    </w:p>
    <w:p w14:paraId="6E708D12" w14:textId="77777777" w:rsidR="00287BB3" w:rsidRDefault="00287BB3">
      <w:pPr>
        <w:pStyle w:val="FootnoteText"/>
      </w:pPr>
    </w:p>
  </w:footnote>
  <w:footnote w:id="4">
    <w:p w14:paraId="6EE0EF2F" w14:textId="77777777" w:rsidR="00287BB3" w:rsidRPr="00384C9F" w:rsidRDefault="00287BB3" w:rsidP="00384C9F">
      <w:pPr>
        <w:pStyle w:val="NormalWeb"/>
        <w:spacing w:before="0" w:beforeAutospacing="0" w:after="0" w:afterAutospacing="0"/>
        <w:ind w:left="450" w:right="75" w:hanging="450"/>
        <w:rPr>
          <w:rFonts w:ascii="Times New Roman" w:hAnsi="Times New Roman"/>
          <w:color w:val="000000"/>
          <w:sz w:val="24"/>
          <w:szCs w:val="24"/>
        </w:rPr>
      </w:pPr>
      <w:r>
        <w:rPr>
          <w:rStyle w:val="FootnoteReference"/>
        </w:rPr>
        <w:footnoteRef/>
      </w:r>
      <w:r>
        <w:t xml:space="preserve"> </w:t>
      </w:r>
      <w:r w:rsidRPr="00384C9F">
        <w:rPr>
          <w:rFonts w:ascii="Times New Roman" w:hAnsi="Times New Roman"/>
          <w:color w:val="000000"/>
        </w:rPr>
        <w:t>"Chicago City Hall."</w:t>
      </w:r>
      <w:r w:rsidRPr="00384C9F">
        <w:rPr>
          <w:rStyle w:val="apple-converted-space"/>
          <w:rFonts w:ascii="Times New Roman" w:hAnsi="Times New Roman"/>
          <w:color w:val="000000"/>
        </w:rPr>
        <w:t> </w:t>
      </w:r>
      <w:proofErr w:type="spellStart"/>
      <w:proofErr w:type="gramStart"/>
      <w:r w:rsidRPr="00384C9F">
        <w:rPr>
          <w:rStyle w:val="Emphasis"/>
          <w:rFonts w:ascii="Times New Roman" w:hAnsi="Times New Roman"/>
          <w:color w:val="000000"/>
        </w:rPr>
        <w:t>Roofmeadow</w:t>
      </w:r>
      <w:proofErr w:type="spellEnd"/>
      <w:r w:rsidRPr="00384C9F">
        <w:rPr>
          <w:rStyle w:val="Emphasis"/>
          <w:rFonts w:ascii="Times New Roman" w:hAnsi="Times New Roman"/>
          <w:color w:val="000000"/>
        </w:rPr>
        <w:t xml:space="preserve"> – Green roofs.</w:t>
      </w:r>
      <w:proofErr w:type="gramEnd"/>
      <w:r w:rsidRPr="00384C9F">
        <w:rPr>
          <w:rStyle w:val="Emphasis"/>
          <w:rFonts w:ascii="Times New Roman" w:hAnsi="Times New Roman"/>
          <w:color w:val="000000"/>
        </w:rPr>
        <w:t xml:space="preserve"> </w:t>
      </w:r>
      <w:proofErr w:type="gramStart"/>
      <w:r w:rsidRPr="00384C9F">
        <w:rPr>
          <w:rStyle w:val="Emphasis"/>
          <w:rFonts w:ascii="Times New Roman" w:hAnsi="Times New Roman"/>
          <w:color w:val="000000"/>
        </w:rPr>
        <w:t>For good</w:t>
      </w:r>
      <w:r w:rsidRPr="00384C9F">
        <w:rPr>
          <w:rFonts w:ascii="Times New Roman" w:hAnsi="Times New Roman"/>
          <w:color w:val="000000"/>
        </w:rPr>
        <w:t>.</w:t>
      </w:r>
      <w:proofErr w:type="gramEnd"/>
      <w:r w:rsidRPr="00384C9F">
        <w:rPr>
          <w:rFonts w:ascii="Times New Roman" w:hAnsi="Times New Roman"/>
          <w:color w:val="000000"/>
        </w:rPr>
        <w:t xml:space="preserve"> </w:t>
      </w:r>
      <w:proofErr w:type="spellStart"/>
      <w:proofErr w:type="gramStart"/>
      <w:r w:rsidRPr="00384C9F">
        <w:rPr>
          <w:rFonts w:ascii="Times New Roman" w:hAnsi="Times New Roman"/>
          <w:color w:val="000000"/>
        </w:rPr>
        <w:t>Roofmeadow</w:t>
      </w:r>
      <w:proofErr w:type="spellEnd"/>
      <w:r w:rsidRPr="00384C9F">
        <w:rPr>
          <w:rFonts w:ascii="Times New Roman" w:hAnsi="Times New Roman"/>
          <w:color w:val="000000"/>
        </w:rPr>
        <w:t xml:space="preserve">, </w:t>
      </w:r>
      <w:proofErr w:type="spellStart"/>
      <w:r w:rsidRPr="00384C9F">
        <w:rPr>
          <w:rFonts w:ascii="Times New Roman" w:hAnsi="Times New Roman"/>
          <w:color w:val="000000"/>
        </w:rPr>
        <w:t>n.d.</w:t>
      </w:r>
      <w:proofErr w:type="spellEnd"/>
      <w:r w:rsidRPr="00384C9F">
        <w:rPr>
          <w:rFonts w:ascii="Times New Roman" w:hAnsi="Times New Roman"/>
          <w:color w:val="000000"/>
        </w:rPr>
        <w:t xml:space="preserve"> Web.</w:t>
      </w:r>
      <w:proofErr w:type="gramEnd"/>
      <w:r w:rsidRPr="00384C9F">
        <w:rPr>
          <w:rFonts w:ascii="Times New Roman" w:hAnsi="Times New Roman"/>
          <w:color w:val="000000"/>
        </w:rPr>
        <w:t xml:space="preserve"> 3 May 2014. &lt;http://www.roofmeadow.com/case-studies/selected-case-studies/chicago-city-hall/&gt;.</w:t>
      </w:r>
    </w:p>
  </w:footnote>
  <w:footnote w:id="5">
    <w:p w14:paraId="4644E3D2" w14:textId="77777777" w:rsidR="00287BB3" w:rsidRPr="00384C9F" w:rsidRDefault="00287BB3" w:rsidP="00384C9F">
      <w:pPr>
        <w:pStyle w:val="NormalWeb"/>
        <w:spacing w:before="0" w:beforeAutospacing="0" w:after="0" w:afterAutospacing="0"/>
        <w:ind w:left="450" w:right="75" w:hanging="450"/>
        <w:rPr>
          <w:rFonts w:ascii="Times New Roman" w:hAnsi="Times New Roman"/>
          <w:color w:val="000000"/>
          <w:szCs w:val="24"/>
        </w:rPr>
      </w:pPr>
      <w:r>
        <w:rPr>
          <w:rStyle w:val="FootnoteReference"/>
        </w:rPr>
        <w:footnoteRef/>
      </w:r>
      <w:r>
        <w:t xml:space="preserve"> </w:t>
      </w:r>
      <w:r w:rsidRPr="00384C9F">
        <w:rPr>
          <w:rFonts w:ascii="Times New Roman" w:eastAsia="Times New Roman" w:hAnsi="Times New Roman"/>
          <w:szCs w:val="24"/>
        </w:rPr>
        <w:t xml:space="preserve">Lee A, Sailor D, Larson T, Ogle R. Developing a web-based tool for assessing green roofs; 2007. </w:t>
      </w:r>
      <w:proofErr w:type="gramStart"/>
      <w:r w:rsidRPr="00384C9F">
        <w:rPr>
          <w:rFonts w:ascii="Times New Roman" w:eastAsia="Times New Roman" w:hAnsi="Times New Roman"/>
          <w:szCs w:val="24"/>
        </w:rPr>
        <w:t xml:space="preserve">Greening Rooftops for Sustainable </w:t>
      </w:r>
      <w:proofErr w:type="spellStart"/>
      <w:r w:rsidRPr="00384C9F">
        <w:rPr>
          <w:rFonts w:ascii="Times New Roman" w:eastAsia="Times New Roman" w:hAnsi="Times New Roman"/>
          <w:szCs w:val="24"/>
        </w:rPr>
        <w:t>Communitites</w:t>
      </w:r>
      <w:proofErr w:type="spellEnd"/>
      <w:r w:rsidRPr="00384C9F">
        <w:rPr>
          <w:rFonts w:ascii="Times New Roman" w:eastAsia="Times New Roman" w:hAnsi="Times New Roman"/>
          <w:szCs w:val="24"/>
        </w:rPr>
        <w:t>, Minneapolis, April 29-May 1.</w:t>
      </w:r>
      <w:proofErr w:type="gramEnd"/>
      <w:r w:rsidRPr="00384C9F">
        <w:rPr>
          <w:rFonts w:ascii="Times New Roman" w:eastAsia="Times New Roman" w:hAnsi="Times New Roman"/>
          <w:szCs w:val="24"/>
        </w:rPr>
        <w:t xml:space="preserve"> </w:t>
      </w:r>
      <w:proofErr w:type="gramStart"/>
      <w:r w:rsidRPr="00384C9F">
        <w:rPr>
          <w:rFonts w:ascii="Times New Roman" w:eastAsia="Times New Roman" w:hAnsi="Times New Roman"/>
          <w:szCs w:val="24"/>
        </w:rPr>
        <w:t>Green Roofs for Healthy Cities.</w:t>
      </w:r>
      <w:proofErr w:type="gramEnd"/>
    </w:p>
  </w:footnote>
  <w:footnote w:id="6">
    <w:p w14:paraId="5BE4D1F8" w14:textId="77777777" w:rsidR="00287BB3" w:rsidRPr="00384C9F" w:rsidRDefault="00287BB3">
      <w:pPr>
        <w:pStyle w:val="FootnoteText"/>
        <w:rPr>
          <w:rFonts w:ascii="Times New Roman" w:hAnsi="Times New Roman" w:cs="Times New Roman"/>
        </w:rPr>
      </w:pPr>
      <w:r w:rsidRPr="00384C9F">
        <w:rPr>
          <w:rStyle w:val="FootnoteReference"/>
          <w:rFonts w:ascii="Times New Roman" w:hAnsi="Times New Roman" w:cs="Times New Roman"/>
        </w:rPr>
        <w:footnoteRef/>
      </w:r>
      <w:r w:rsidRPr="00384C9F">
        <w:rPr>
          <w:rFonts w:ascii="Times New Roman" w:hAnsi="Times New Roman" w:cs="Times New Roman"/>
        </w:rPr>
        <w:t xml:space="preserve"> </w:t>
      </w:r>
      <w:proofErr w:type="gramStart"/>
      <w:r w:rsidRPr="00384C9F">
        <w:rPr>
          <w:rFonts w:ascii="Times New Roman" w:hAnsi="Times New Roman" w:cs="Times New Roman"/>
          <w:sz w:val="20"/>
        </w:rPr>
        <w:t xml:space="preserve">Data on the cooled water and steam usage of the Art &amp; Design building and </w:t>
      </w:r>
      <w:proofErr w:type="spellStart"/>
      <w:r w:rsidRPr="00384C9F">
        <w:rPr>
          <w:rFonts w:ascii="Times New Roman" w:hAnsi="Times New Roman" w:cs="Times New Roman"/>
          <w:sz w:val="20"/>
        </w:rPr>
        <w:t>Krannert</w:t>
      </w:r>
      <w:proofErr w:type="spellEnd"/>
      <w:r w:rsidRPr="00384C9F">
        <w:rPr>
          <w:rFonts w:ascii="Times New Roman" w:hAnsi="Times New Roman" w:cs="Times New Roman"/>
          <w:sz w:val="20"/>
        </w:rPr>
        <w:t xml:space="preserve"> Art Museum was provided by Morgan B. Johnston, Associate Director of Sustainability</w:t>
      </w:r>
      <w:proofErr w:type="gramEnd"/>
      <w:r w:rsidRPr="00384C9F">
        <w:rPr>
          <w:rFonts w:ascii="Times New Roman" w:hAnsi="Times New Roman" w:cs="Times New Roman"/>
          <w:sz w:val="20"/>
        </w:rPr>
        <w:t>.</w:t>
      </w:r>
    </w:p>
  </w:footnote>
  <w:footnote w:id="7">
    <w:p w14:paraId="7457F966" w14:textId="77777777" w:rsidR="00287BB3" w:rsidRPr="00384C9F" w:rsidRDefault="00287BB3" w:rsidP="00384C9F">
      <w:pPr>
        <w:pStyle w:val="NormalWeb"/>
        <w:spacing w:before="0" w:beforeAutospacing="0" w:after="0" w:afterAutospacing="0"/>
        <w:ind w:left="450" w:right="75" w:hanging="450"/>
        <w:rPr>
          <w:rFonts w:ascii="Times New Roman" w:hAnsi="Times New Roman"/>
          <w:color w:val="000000"/>
          <w:sz w:val="24"/>
          <w:szCs w:val="24"/>
        </w:rPr>
      </w:pPr>
      <w:r>
        <w:rPr>
          <w:rStyle w:val="FootnoteReference"/>
        </w:rPr>
        <w:footnoteRef/>
      </w:r>
      <w:r>
        <w:t xml:space="preserve"> </w:t>
      </w:r>
      <w:proofErr w:type="spellStart"/>
      <w:r w:rsidRPr="00384C9F">
        <w:rPr>
          <w:rFonts w:ascii="Times New Roman" w:eastAsia="Times New Roman" w:hAnsi="Times New Roman"/>
          <w:color w:val="222222"/>
          <w:szCs w:val="24"/>
          <w:shd w:val="clear" w:color="auto" w:fill="FFFFFF"/>
        </w:rPr>
        <w:t>Kosareo</w:t>
      </w:r>
      <w:proofErr w:type="spellEnd"/>
      <w:r w:rsidRPr="00384C9F">
        <w:rPr>
          <w:rFonts w:ascii="Times New Roman" w:eastAsia="Times New Roman" w:hAnsi="Times New Roman"/>
          <w:color w:val="222222"/>
          <w:szCs w:val="24"/>
          <w:shd w:val="clear" w:color="auto" w:fill="FFFFFF"/>
        </w:rPr>
        <w:t>, Lisa M. </w:t>
      </w:r>
      <w:proofErr w:type="gramStart"/>
      <w:r w:rsidRPr="00384C9F">
        <w:rPr>
          <w:rFonts w:ascii="Times New Roman" w:eastAsia="Times New Roman" w:hAnsi="Times New Roman"/>
          <w:i/>
          <w:iCs/>
          <w:color w:val="222222"/>
          <w:szCs w:val="24"/>
          <w:shd w:val="clear" w:color="auto" w:fill="FFFFFF"/>
        </w:rPr>
        <w:t>The thermal performance and life cycle assessment of a green roof in Pittsburgh, Pennsylvania</w:t>
      </w:r>
      <w:r w:rsidRPr="00384C9F">
        <w:rPr>
          <w:rFonts w:ascii="Times New Roman" w:eastAsia="Times New Roman" w:hAnsi="Times New Roman"/>
          <w:color w:val="222222"/>
          <w:szCs w:val="24"/>
          <w:shd w:val="clear" w:color="auto" w:fill="FFFFFF"/>
        </w:rPr>
        <w:t>.</w:t>
      </w:r>
      <w:proofErr w:type="gramEnd"/>
      <w:r w:rsidRPr="00384C9F">
        <w:rPr>
          <w:rFonts w:ascii="Times New Roman" w:eastAsia="Times New Roman" w:hAnsi="Times New Roman"/>
          <w:color w:val="222222"/>
          <w:szCs w:val="24"/>
          <w:shd w:val="clear" w:color="auto" w:fill="FFFFFF"/>
        </w:rPr>
        <w:t xml:space="preserve"> </w:t>
      </w:r>
      <w:proofErr w:type="gramStart"/>
      <w:r w:rsidRPr="00384C9F">
        <w:rPr>
          <w:rFonts w:ascii="Times New Roman" w:eastAsia="Times New Roman" w:hAnsi="Times New Roman"/>
          <w:color w:val="222222"/>
          <w:szCs w:val="24"/>
          <w:shd w:val="clear" w:color="auto" w:fill="FFFFFF"/>
        </w:rPr>
        <w:t>Diss. University of Pittsburgh, 2007.</w:t>
      </w:r>
      <w:proofErr w:type="gramEnd"/>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F39E9"/>
    <w:multiLevelType w:val="hybridMultilevel"/>
    <w:tmpl w:val="D1BCBB88"/>
    <w:lvl w:ilvl="0" w:tplc="E9840D42">
      <w:start w:val="1"/>
      <w:numFmt w:val="bullet"/>
      <w:lvlText w:val=""/>
      <w:lvlJc w:val="left"/>
      <w:pPr>
        <w:tabs>
          <w:tab w:val="num" w:pos="720"/>
        </w:tabs>
        <w:ind w:left="720" w:hanging="360"/>
      </w:pPr>
      <w:rPr>
        <w:rFonts w:ascii="Wingdings 2" w:hAnsi="Wingdings 2" w:hint="default"/>
      </w:rPr>
    </w:lvl>
    <w:lvl w:ilvl="1" w:tplc="113A2A04" w:tentative="1">
      <w:start w:val="1"/>
      <w:numFmt w:val="bullet"/>
      <w:lvlText w:val=""/>
      <w:lvlJc w:val="left"/>
      <w:pPr>
        <w:tabs>
          <w:tab w:val="num" w:pos="1440"/>
        </w:tabs>
        <w:ind w:left="1440" w:hanging="360"/>
      </w:pPr>
      <w:rPr>
        <w:rFonts w:ascii="Wingdings 2" w:hAnsi="Wingdings 2" w:hint="default"/>
      </w:rPr>
    </w:lvl>
    <w:lvl w:ilvl="2" w:tplc="3DF2F7E2" w:tentative="1">
      <w:start w:val="1"/>
      <w:numFmt w:val="bullet"/>
      <w:lvlText w:val=""/>
      <w:lvlJc w:val="left"/>
      <w:pPr>
        <w:tabs>
          <w:tab w:val="num" w:pos="2160"/>
        </w:tabs>
        <w:ind w:left="2160" w:hanging="360"/>
      </w:pPr>
      <w:rPr>
        <w:rFonts w:ascii="Wingdings 2" w:hAnsi="Wingdings 2" w:hint="default"/>
      </w:rPr>
    </w:lvl>
    <w:lvl w:ilvl="3" w:tplc="2376B738" w:tentative="1">
      <w:start w:val="1"/>
      <w:numFmt w:val="bullet"/>
      <w:lvlText w:val=""/>
      <w:lvlJc w:val="left"/>
      <w:pPr>
        <w:tabs>
          <w:tab w:val="num" w:pos="2880"/>
        </w:tabs>
        <w:ind w:left="2880" w:hanging="360"/>
      </w:pPr>
      <w:rPr>
        <w:rFonts w:ascii="Wingdings 2" w:hAnsi="Wingdings 2" w:hint="default"/>
      </w:rPr>
    </w:lvl>
    <w:lvl w:ilvl="4" w:tplc="8020B6C2" w:tentative="1">
      <w:start w:val="1"/>
      <w:numFmt w:val="bullet"/>
      <w:lvlText w:val=""/>
      <w:lvlJc w:val="left"/>
      <w:pPr>
        <w:tabs>
          <w:tab w:val="num" w:pos="3600"/>
        </w:tabs>
        <w:ind w:left="3600" w:hanging="360"/>
      </w:pPr>
      <w:rPr>
        <w:rFonts w:ascii="Wingdings 2" w:hAnsi="Wingdings 2" w:hint="default"/>
      </w:rPr>
    </w:lvl>
    <w:lvl w:ilvl="5" w:tplc="CC8254A0" w:tentative="1">
      <w:start w:val="1"/>
      <w:numFmt w:val="bullet"/>
      <w:lvlText w:val=""/>
      <w:lvlJc w:val="left"/>
      <w:pPr>
        <w:tabs>
          <w:tab w:val="num" w:pos="4320"/>
        </w:tabs>
        <w:ind w:left="4320" w:hanging="360"/>
      </w:pPr>
      <w:rPr>
        <w:rFonts w:ascii="Wingdings 2" w:hAnsi="Wingdings 2" w:hint="default"/>
      </w:rPr>
    </w:lvl>
    <w:lvl w:ilvl="6" w:tplc="E4D08112" w:tentative="1">
      <w:start w:val="1"/>
      <w:numFmt w:val="bullet"/>
      <w:lvlText w:val=""/>
      <w:lvlJc w:val="left"/>
      <w:pPr>
        <w:tabs>
          <w:tab w:val="num" w:pos="5040"/>
        </w:tabs>
        <w:ind w:left="5040" w:hanging="360"/>
      </w:pPr>
      <w:rPr>
        <w:rFonts w:ascii="Wingdings 2" w:hAnsi="Wingdings 2" w:hint="default"/>
      </w:rPr>
    </w:lvl>
    <w:lvl w:ilvl="7" w:tplc="050E63AE" w:tentative="1">
      <w:start w:val="1"/>
      <w:numFmt w:val="bullet"/>
      <w:lvlText w:val=""/>
      <w:lvlJc w:val="left"/>
      <w:pPr>
        <w:tabs>
          <w:tab w:val="num" w:pos="5760"/>
        </w:tabs>
        <w:ind w:left="5760" w:hanging="360"/>
      </w:pPr>
      <w:rPr>
        <w:rFonts w:ascii="Wingdings 2" w:hAnsi="Wingdings 2" w:hint="default"/>
      </w:rPr>
    </w:lvl>
    <w:lvl w:ilvl="8" w:tplc="754A0194" w:tentative="1">
      <w:start w:val="1"/>
      <w:numFmt w:val="bullet"/>
      <w:lvlText w:val=""/>
      <w:lvlJc w:val="left"/>
      <w:pPr>
        <w:tabs>
          <w:tab w:val="num" w:pos="6480"/>
        </w:tabs>
        <w:ind w:left="6480" w:hanging="360"/>
      </w:pPr>
      <w:rPr>
        <w:rFonts w:ascii="Wingdings 2" w:hAnsi="Wingdings 2" w:hint="default"/>
      </w:rPr>
    </w:lvl>
  </w:abstractNum>
  <w:abstractNum w:abstractNumId="1">
    <w:nsid w:val="25C10E1E"/>
    <w:multiLevelType w:val="hybridMultilevel"/>
    <w:tmpl w:val="7CDA4CA4"/>
    <w:lvl w:ilvl="0" w:tplc="869EDA60">
      <w:start w:val="1"/>
      <w:numFmt w:val="bullet"/>
      <w:lvlText w:val=""/>
      <w:lvlJc w:val="left"/>
      <w:pPr>
        <w:tabs>
          <w:tab w:val="num" w:pos="720"/>
        </w:tabs>
        <w:ind w:left="720" w:hanging="360"/>
      </w:pPr>
      <w:rPr>
        <w:rFonts w:ascii="Wingdings 2" w:hAnsi="Wingdings 2" w:hint="default"/>
      </w:rPr>
    </w:lvl>
    <w:lvl w:ilvl="1" w:tplc="38768520" w:tentative="1">
      <w:start w:val="1"/>
      <w:numFmt w:val="bullet"/>
      <w:lvlText w:val=""/>
      <w:lvlJc w:val="left"/>
      <w:pPr>
        <w:tabs>
          <w:tab w:val="num" w:pos="1440"/>
        </w:tabs>
        <w:ind w:left="1440" w:hanging="360"/>
      </w:pPr>
      <w:rPr>
        <w:rFonts w:ascii="Wingdings 2" w:hAnsi="Wingdings 2" w:hint="default"/>
      </w:rPr>
    </w:lvl>
    <w:lvl w:ilvl="2" w:tplc="971EF250" w:tentative="1">
      <w:start w:val="1"/>
      <w:numFmt w:val="bullet"/>
      <w:lvlText w:val=""/>
      <w:lvlJc w:val="left"/>
      <w:pPr>
        <w:tabs>
          <w:tab w:val="num" w:pos="2160"/>
        </w:tabs>
        <w:ind w:left="2160" w:hanging="360"/>
      </w:pPr>
      <w:rPr>
        <w:rFonts w:ascii="Wingdings 2" w:hAnsi="Wingdings 2" w:hint="default"/>
      </w:rPr>
    </w:lvl>
    <w:lvl w:ilvl="3" w:tplc="7666A486" w:tentative="1">
      <w:start w:val="1"/>
      <w:numFmt w:val="bullet"/>
      <w:lvlText w:val=""/>
      <w:lvlJc w:val="left"/>
      <w:pPr>
        <w:tabs>
          <w:tab w:val="num" w:pos="2880"/>
        </w:tabs>
        <w:ind w:left="2880" w:hanging="360"/>
      </w:pPr>
      <w:rPr>
        <w:rFonts w:ascii="Wingdings 2" w:hAnsi="Wingdings 2" w:hint="default"/>
      </w:rPr>
    </w:lvl>
    <w:lvl w:ilvl="4" w:tplc="56C0827C" w:tentative="1">
      <w:start w:val="1"/>
      <w:numFmt w:val="bullet"/>
      <w:lvlText w:val=""/>
      <w:lvlJc w:val="left"/>
      <w:pPr>
        <w:tabs>
          <w:tab w:val="num" w:pos="3600"/>
        </w:tabs>
        <w:ind w:left="3600" w:hanging="360"/>
      </w:pPr>
      <w:rPr>
        <w:rFonts w:ascii="Wingdings 2" w:hAnsi="Wingdings 2" w:hint="default"/>
      </w:rPr>
    </w:lvl>
    <w:lvl w:ilvl="5" w:tplc="62BAE3C6" w:tentative="1">
      <w:start w:val="1"/>
      <w:numFmt w:val="bullet"/>
      <w:lvlText w:val=""/>
      <w:lvlJc w:val="left"/>
      <w:pPr>
        <w:tabs>
          <w:tab w:val="num" w:pos="4320"/>
        </w:tabs>
        <w:ind w:left="4320" w:hanging="360"/>
      </w:pPr>
      <w:rPr>
        <w:rFonts w:ascii="Wingdings 2" w:hAnsi="Wingdings 2" w:hint="default"/>
      </w:rPr>
    </w:lvl>
    <w:lvl w:ilvl="6" w:tplc="E67A6DB4" w:tentative="1">
      <w:start w:val="1"/>
      <w:numFmt w:val="bullet"/>
      <w:lvlText w:val=""/>
      <w:lvlJc w:val="left"/>
      <w:pPr>
        <w:tabs>
          <w:tab w:val="num" w:pos="5040"/>
        </w:tabs>
        <w:ind w:left="5040" w:hanging="360"/>
      </w:pPr>
      <w:rPr>
        <w:rFonts w:ascii="Wingdings 2" w:hAnsi="Wingdings 2" w:hint="default"/>
      </w:rPr>
    </w:lvl>
    <w:lvl w:ilvl="7" w:tplc="34425218" w:tentative="1">
      <w:start w:val="1"/>
      <w:numFmt w:val="bullet"/>
      <w:lvlText w:val=""/>
      <w:lvlJc w:val="left"/>
      <w:pPr>
        <w:tabs>
          <w:tab w:val="num" w:pos="5760"/>
        </w:tabs>
        <w:ind w:left="5760" w:hanging="360"/>
      </w:pPr>
      <w:rPr>
        <w:rFonts w:ascii="Wingdings 2" w:hAnsi="Wingdings 2" w:hint="default"/>
      </w:rPr>
    </w:lvl>
    <w:lvl w:ilvl="8" w:tplc="D9866706" w:tentative="1">
      <w:start w:val="1"/>
      <w:numFmt w:val="bullet"/>
      <w:lvlText w:val=""/>
      <w:lvlJc w:val="left"/>
      <w:pPr>
        <w:tabs>
          <w:tab w:val="num" w:pos="6480"/>
        </w:tabs>
        <w:ind w:left="6480" w:hanging="360"/>
      </w:pPr>
      <w:rPr>
        <w:rFonts w:ascii="Wingdings 2" w:hAnsi="Wingdings 2" w:hint="default"/>
      </w:rPr>
    </w:lvl>
  </w:abstractNum>
  <w:abstractNum w:abstractNumId="2">
    <w:nsid w:val="25F67D27"/>
    <w:multiLevelType w:val="hybridMultilevel"/>
    <w:tmpl w:val="49F81DA2"/>
    <w:lvl w:ilvl="0" w:tplc="3FB436D2">
      <w:start w:val="1"/>
      <w:numFmt w:val="bullet"/>
      <w:lvlText w:val=""/>
      <w:lvlJc w:val="left"/>
      <w:pPr>
        <w:tabs>
          <w:tab w:val="num" w:pos="720"/>
        </w:tabs>
        <w:ind w:left="720" w:hanging="360"/>
      </w:pPr>
      <w:rPr>
        <w:rFonts w:ascii="Wingdings 2" w:hAnsi="Wingdings 2" w:hint="default"/>
      </w:rPr>
    </w:lvl>
    <w:lvl w:ilvl="1" w:tplc="7B6EBB4E" w:tentative="1">
      <w:start w:val="1"/>
      <w:numFmt w:val="bullet"/>
      <w:lvlText w:val=""/>
      <w:lvlJc w:val="left"/>
      <w:pPr>
        <w:tabs>
          <w:tab w:val="num" w:pos="1440"/>
        </w:tabs>
        <w:ind w:left="1440" w:hanging="360"/>
      </w:pPr>
      <w:rPr>
        <w:rFonts w:ascii="Wingdings 2" w:hAnsi="Wingdings 2" w:hint="default"/>
      </w:rPr>
    </w:lvl>
    <w:lvl w:ilvl="2" w:tplc="47BE92A4" w:tentative="1">
      <w:start w:val="1"/>
      <w:numFmt w:val="bullet"/>
      <w:lvlText w:val=""/>
      <w:lvlJc w:val="left"/>
      <w:pPr>
        <w:tabs>
          <w:tab w:val="num" w:pos="2160"/>
        </w:tabs>
        <w:ind w:left="2160" w:hanging="360"/>
      </w:pPr>
      <w:rPr>
        <w:rFonts w:ascii="Wingdings 2" w:hAnsi="Wingdings 2" w:hint="default"/>
      </w:rPr>
    </w:lvl>
    <w:lvl w:ilvl="3" w:tplc="18A2791A" w:tentative="1">
      <w:start w:val="1"/>
      <w:numFmt w:val="bullet"/>
      <w:lvlText w:val=""/>
      <w:lvlJc w:val="left"/>
      <w:pPr>
        <w:tabs>
          <w:tab w:val="num" w:pos="2880"/>
        </w:tabs>
        <w:ind w:left="2880" w:hanging="360"/>
      </w:pPr>
      <w:rPr>
        <w:rFonts w:ascii="Wingdings 2" w:hAnsi="Wingdings 2" w:hint="default"/>
      </w:rPr>
    </w:lvl>
    <w:lvl w:ilvl="4" w:tplc="62A4963A" w:tentative="1">
      <w:start w:val="1"/>
      <w:numFmt w:val="bullet"/>
      <w:lvlText w:val=""/>
      <w:lvlJc w:val="left"/>
      <w:pPr>
        <w:tabs>
          <w:tab w:val="num" w:pos="3600"/>
        </w:tabs>
        <w:ind w:left="3600" w:hanging="360"/>
      </w:pPr>
      <w:rPr>
        <w:rFonts w:ascii="Wingdings 2" w:hAnsi="Wingdings 2" w:hint="default"/>
      </w:rPr>
    </w:lvl>
    <w:lvl w:ilvl="5" w:tplc="B8F054FA" w:tentative="1">
      <w:start w:val="1"/>
      <w:numFmt w:val="bullet"/>
      <w:lvlText w:val=""/>
      <w:lvlJc w:val="left"/>
      <w:pPr>
        <w:tabs>
          <w:tab w:val="num" w:pos="4320"/>
        </w:tabs>
        <w:ind w:left="4320" w:hanging="360"/>
      </w:pPr>
      <w:rPr>
        <w:rFonts w:ascii="Wingdings 2" w:hAnsi="Wingdings 2" w:hint="default"/>
      </w:rPr>
    </w:lvl>
    <w:lvl w:ilvl="6" w:tplc="70169508" w:tentative="1">
      <w:start w:val="1"/>
      <w:numFmt w:val="bullet"/>
      <w:lvlText w:val=""/>
      <w:lvlJc w:val="left"/>
      <w:pPr>
        <w:tabs>
          <w:tab w:val="num" w:pos="5040"/>
        </w:tabs>
        <w:ind w:left="5040" w:hanging="360"/>
      </w:pPr>
      <w:rPr>
        <w:rFonts w:ascii="Wingdings 2" w:hAnsi="Wingdings 2" w:hint="default"/>
      </w:rPr>
    </w:lvl>
    <w:lvl w:ilvl="7" w:tplc="B7445BC8" w:tentative="1">
      <w:start w:val="1"/>
      <w:numFmt w:val="bullet"/>
      <w:lvlText w:val=""/>
      <w:lvlJc w:val="left"/>
      <w:pPr>
        <w:tabs>
          <w:tab w:val="num" w:pos="5760"/>
        </w:tabs>
        <w:ind w:left="5760" w:hanging="360"/>
      </w:pPr>
      <w:rPr>
        <w:rFonts w:ascii="Wingdings 2" w:hAnsi="Wingdings 2" w:hint="default"/>
      </w:rPr>
    </w:lvl>
    <w:lvl w:ilvl="8" w:tplc="7B5CFC2A" w:tentative="1">
      <w:start w:val="1"/>
      <w:numFmt w:val="bullet"/>
      <w:lvlText w:val=""/>
      <w:lvlJc w:val="left"/>
      <w:pPr>
        <w:tabs>
          <w:tab w:val="num" w:pos="6480"/>
        </w:tabs>
        <w:ind w:left="6480" w:hanging="360"/>
      </w:pPr>
      <w:rPr>
        <w:rFonts w:ascii="Wingdings 2" w:hAnsi="Wingdings 2" w:hint="default"/>
      </w:rPr>
    </w:lvl>
  </w:abstractNum>
  <w:abstractNum w:abstractNumId="3">
    <w:nsid w:val="3CFA0FFF"/>
    <w:multiLevelType w:val="hybridMultilevel"/>
    <w:tmpl w:val="C1C68510"/>
    <w:lvl w:ilvl="0" w:tplc="442EFCC4">
      <w:start w:val="1"/>
      <w:numFmt w:val="bullet"/>
      <w:lvlText w:val=""/>
      <w:lvlJc w:val="left"/>
      <w:pPr>
        <w:tabs>
          <w:tab w:val="num" w:pos="720"/>
        </w:tabs>
        <w:ind w:left="720" w:hanging="360"/>
      </w:pPr>
      <w:rPr>
        <w:rFonts w:ascii="Wingdings 2" w:hAnsi="Wingdings 2" w:hint="default"/>
      </w:rPr>
    </w:lvl>
    <w:lvl w:ilvl="1" w:tplc="916AF858" w:tentative="1">
      <w:start w:val="1"/>
      <w:numFmt w:val="bullet"/>
      <w:lvlText w:val=""/>
      <w:lvlJc w:val="left"/>
      <w:pPr>
        <w:tabs>
          <w:tab w:val="num" w:pos="1440"/>
        </w:tabs>
        <w:ind w:left="1440" w:hanging="360"/>
      </w:pPr>
      <w:rPr>
        <w:rFonts w:ascii="Wingdings 2" w:hAnsi="Wingdings 2" w:hint="default"/>
      </w:rPr>
    </w:lvl>
    <w:lvl w:ilvl="2" w:tplc="EC76EEE6" w:tentative="1">
      <w:start w:val="1"/>
      <w:numFmt w:val="bullet"/>
      <w:lvlText w:val=""/>
      <w:lvlJc w:val="left"/>
      <w:pPr>
        <w:tabs>
          <w:tab w:val="num" w:pos="2160"/>
        </w:tabs>
        <w:ind w:left="2160" w:hanging="360"/>
      </w:pPr>
      <w:rPr>
        <w:rFonts w:ascii="Wingdings 2" w:hAnsi="Wingdings 2" w:hint="default"/>
      </w:rPr>
    </w:lvl>
    <w:lvl w:ilvl="3" w:tplc="A3E29230" w:tentative="1">
      <w:start w:val="1"/>
      <w:numFmt w:val="bullet"/>
      <w:lvlText w:val=""/>
      <w:lvlJc w:val="left"/>
      <w:pPr>
        <w:tabs>
          <w:tab w:val="num" w:pos="2880"/>
        </w:tabs>
        <w:ind w:left="2880" w:hanging="360"/>
      </w:pPr>
      <w:rPr>
        <w:rFonts w:ascii="Wingdings 2" w:hAnsi="Wingdings 2" w:hint="default"/>
      </w:rPr>
    </w:lvl>
    <w:lvl w:ilvl="4" w:tplc="AB7896FA" w:tentative="1">
      <w:start w:val="1"/>
      <w:numFmt w:val="bullet"/>
      <w:lvlText w:val=""/>
      <w:lvlJc w:val="left"/>
      <w:pPr>
        <w:tabs>
          <w:tab w:val="num" w:pos="3600"/>
        </w:tabs>
        <w:ind w:left="3600" w:hanging="360"/>
      </w:pPr>
      <w:rPr>
        <w:rFonts w:ascii="Wingdings 2" w:hAnsi="Wingdings 2" w:hint="default"/>
      </w:rPr>
    </w:lvl>
    <w:lvl w:ilvl="5" w:tplc="9670C116" w:tentative="1">
      <w:start w:val="1"/>
      <w:numFmt w:val="bullet"/>
      <w:lvlText w:val=""/>
      <w:lvlJc w:val="left"/>
      <w:pPr>
        <w:tabs>
          <w:tab w:val="num" w:pos="4320"/>
        </w:tabs>
        <w:ind w:left="4320" w:hanging="360"/>
      </w:pPr>
      <w:rPr>
        <w:rFonts w:ascii="Wingdings 2" w:hAnsi="Wingdings 2" w:hint="default"/>
      </w:rPr>
    </w:lvl>
    <w:lvl w:ilvl="6" w:tplc="032028F4" w:tentative="1">
      <w:start w:val="1"/>
      <w:numFmt w:val="bullet"/>
      <w:lvlText w:val=""/>
      <w:lvlJc w:val="left"/>
      <w:pPr>
        <w:tabs>
          <w:tab w:val="num" w:pos="5040"/>
        </w:tabs>
        <w:ind w:left="5040" w:hanging="360"/>
      </w:pPr>
      <w:rPr>
        <w:rFonts w:ascii="Wingdings 2" w:hAnsi="Wingdings 2" w:hint="default"/>
      </w:rPr>
    </w:lvl>
    <w:lvl w:ilvl="7" w:tplc="86A6FB18" w:tentative="1">
      <w:start w:val="1"/>
      <w:numFmt w:val="bullet"/>
      <w:lvlText w:val=""/>
      <w:lvlJc w:val="left"/>
      <w:pPr>
        <w:tabs>
          <w:tab w:val="num" w:pos="5760"/>
        </w:tabs>
        <w:ind w:left="5760" w:hanging="360"/>
      </w:pPr>
      <w:rPr>
        <w:rFonts w:ascii="Wingdings 2" w:hAnsi="Wingdings 2" w:hint="default"/>
      </w:rPr>
    </w:lvl>
    <w:lvl w:ilvl="8" w:tplc="50AC608C" w:tentative="1">
      <w:start w:val="1"/>
      <w:numFmt w:val="bullet"/>
      <w:lvlText w:val=""/>
      <w:lvlJc w:val="left"/>
      <w:pPr>
        <w:tabs>
          <w:tab w:val="num" w:pos="6480"/>
        </w:tabs>
        <w:ind w:left="6480" w:hanging="360"/>
      </w:pPr>
      <w:rPr>
        <w:rFonts w:ascii="Wingdings 2" w:hAnsi="Wingdings 2" w:hint="default"/>
      </w:rPr>
    </w:lvl>
  </w:abstractNum>
  <w:abstractNum w:abstractNumId="4">
    <w:nsid w:val="795173F3"/>
    <w:multiLevelType w:val="hybridMultilevel"/>
    <w:tmpl w:val="116CD30E"/>
    <w:lvl w:ilvl="0" w:tplc="7A42B888">
      <w:start w:val="1"/>
      <w:numFmt w:val="bullet"/>
      <w:lvlText w:val=""/>
      <w:lvlJc w:val="left"/>
      <w:pPr>
        <w:tabs>
          <w:tab w:val="num" w:pos="720"/>
        </w:tabs>
        <w:ind w:left="720" w:hanging="360"/>
      </w:pPr>
      <w:rPr>
        <w:rFonts w:ascii="Wingdings 2" w:hAnsi="Wingdings 2" w:hint="default"/>
      </w:rPr>
    </w:lvl>
    <w:lvl w:ilvl="1" w:tplc="C15ED70A" w:tentative="1">
      <w:start w:val="1"/>
      <w:numFmt w:val="bullet"/>
      <w:lvlText w:val=""/>
      <w:lvlJc w:val="left"/>
      <w:pPr>
        <w:tabs>
          <w:tab w:val="num" w:pos="1440"/>
        </w:tabs>
        <w:ind w:left="1440" w:hanging="360"/>
      </w:pPr>
      <w:rPr>
        <w:rFonts w:ascii="Wingdings 2" w:hAnsi="Wingdings 2" w:hint="default"/>
      </w:rPr>
    </w:lvl>
    <w:lvl w:ilvl="2" w:tplc="2074577E" w:tentative="1">
      <w:start w:val="1"/>
      <w:numFmt w:val="bullet"/>
      <w:lvlText w:val=""/>
      <w:lvlJc w:val="left"/>
      <w:pPr>
        <w:tabs>
          <w:tab w:val="num" w:pos="2160"/>
        </w:tabs>
        <w:ind w:left="2160" w:hanging="360"/>
      </w:pPr>
      <w:rPr>
        <w:rFonts w:ascii="Wingdings 2" w:hAnsi="Wingdings 2" w:hint="default"/>
      </w:rPr>
    </w:lvl>
    <w:lvl w:ilvl="3" w:tplc="D7A2FC08" w:tentative="1">
      <w:start w:val="1"/>
      <w:numFmt w:val="bullet"/>
      <w:lvlText w:val=""/>
      <w:lvlJc w:val="left"/>
      <w:pPr>
        <w:tabs>
          <w:tab w:val="num" w:pos="2880"/>
        </w:tabs>
        <w:ind w:left="2880" w:hanging="360"/>
      </w:pPr>
      <w:rPr>
        <w:rFonts w:ascii="Wingdings 2" w:hAnsi="Wingdings 2" w:hint="default"/>
      </w:rPr>
    </w:lvl>
    <w:lvl w:ilvl="4" w:tplc="75C6AD2C" w:tentative="1">
      <w:start w:val="1"/>
      <w:numFmt w:val="bullet"/>
      <w:lvlText w:val=""/>
      <w:lvlJc w:val="left"/>
      <w:pPr>
        <w:tabs>
          <w:tab w:val="num" w:pos="3600"/>
        </w:tabs>
        <w:ind w:left="3600" w:hanging="360"/>
      </w:pPr>
      <w:rPr>
        <w:rFonts w:ascii="Wingdings 2" w:hAnsi="Wingdings 2" w:hint="default"/>
      </w:rPr>
    </w:lvl>
    <w:lvl w:ilvl="5" w:tplc="E78EEC66" w:tentative="1">
      <w:start w:val="1"/>
      <w:numFmt w:val="bullet"/>
      <w:lvlText w:val=""/>
      <w:lvlJc w:val="left"/>
      <w:pPr>
        <w:tabs>
          <w:tab w:val="num" w:pos="4320"/>
        </w:tabs>
        <w:ind w:left="4320" w:hanging="360"/>
      </w:pPr>
      <w:rPr>
        <w:rFonts w:ascii="Wingdings 2" w:hAnsi="Wingdings 2" w:hint="default"/>
      </w:rPr>
    </w:lvl>
    <w:lvl w:ilvl="6" w:tplc="B6C8AEBA" w:tentative="1">
      <w:start w:val="1"/>
      <w:numFmt w:val="bullet"/>
      <w:lvlText w:val=""/>
      <w:lvlJc w:val="left"/>
      <w:pPr>
        <w:tabs>
          <w:tab w:val="num" w:pos="5040"/>
        </w:tabs>
        <w:ind w:left="5040" w:hanging="360"/>
      </w:pPr>
      <w:rPr>
        <w:rFonts w:ascii="Wingdings 2" w:hAnsi="Wingdings 2" w:hint="default"/>
      </w:rPr>
    </w:lvl>
    <w:lvl w:ilvl="7" w:tplc="85EC4A30" w:tentative="1">
      <w:start w:val="1"/>
      <w:numFmt w:val="bullet"/>
      <w:lvlText w:val=""/>
      <w:lvlJc w:val="left"/>
      <w:pPr>
        <w:tabs>
          <w:tab w:val="num" w:pos="5760"/>
        </w:tabs>
        <w:ind w:left="5760" w:hanging="360"/>
      </w:pPr>
      <w:rPr>
        <w:rFonts w:ascii="Wingdings 2" w:hAnsi="Wingdings 2" w:hint="default"/>
      </w:rPr>
    </w:lvl>
    <w:lvl w:ilvl="8" w:tplc="91669840"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3E2"/>
    <w:rsid w:val="00004C27"/>
    <w:rsid w:val="000712DD"/>
    <w:rsid w:val="000A5A18"/>
    <w:rsid w:val="000A5FA4"/>
    <w:rsid w:val="000B351C"/>
    <w:rsid w:val="000C687E"/>
    <w:rsid w:val="00123BF2"/>
    <w:rsid w:val="001F2945"/>
    <w:rsid w:val="0021304D"/>
    <w:rsid w:val="002256C9"/>
    <w:rsid w:val="00241196"/>
    <w:rsid w:val="00250381"/>
    <w:rsid w:val="00287BB3"/>
    <w:rsid w:val="00306F93"/>
    <w:rsid w:val="00384C9F"/>
    <w:rsid w:val="003B4D24"/>
    <w:rsid w:val="003D7DDC"/>
    <w:rsid w:val="00412C2E"/>
    <w:rsid w:val="00416C73"/>
    <w:rsid w:val="00424F50"/>
    <w:rsid w:val="00450EDB"/>
    <w:rsid w:val="00460728"/>
    <w:rsid w:val="00474860"/>
    <w:rsid w:val="004933C1"/>
    <w:rsid w:val="004F4659"/>
    <w:rsid w:val="00541168"/>
    <w:rsid w:val="005411DB"/>
    <w:rsid w:val="006630D5"/>
    <w:rsid w:val="006B53EC"/>
    <w:rsid w:val="00736CDD"/>
    <w:rsid w:val="00791DD3"/>
    <w:rsid w:val="007974B9"/>
    <w:rsid w:val="007E3316"/>
    <w:rsid w:val="00885330"/>
    <w:rsid w:val="008B4318"/>
    <w:rsid w:val="008B666A"/>
    <w:rsid w:val="008F7B46"/>
    <w:rsid w:val="00911D15"/>
    <w:rsid w:val="00933195"/>
    <w:rsid w:val="00936B84"/>
    <w:rsid w:val="009422D6"/>
    <w:rsid w:val="00980361"/>
    <w:rsid w:val="009E2553"/>
    <w:rsid w:val="00A16CD9"/>
    <w:rsid w:val="00A336BD"/>
    <w:rsid w:val="00A74011"/>
    <w:rsid w:val="00AA63E3"/>
    <w:rsid w:val="00AB2EEB"/>
    <w:rsid w:val="00B442A1"/>
    <w:rsid w:val="00B55586"/>
    <w:rsid w:val="00BA2A60"/>
    <w:rsid w:val="00C413D2"/>
    <w:rsid w:val="00CC69BC"/>
    <w:rsid w:val="00CD2D76"/>
    <w:rsid w:val="00CD36D0"/>
    <w:rsid w:val="00CD3F11"/>
    <w:rsid w:val="00D264C5"/>
    <w:rsid w:val="00D302C0"/>
    <w:rsid w:val="00D31526"/>
    <w:rsid w:val="00D33B86"/>
    <w:rsid w:val="00D5231A"/>
    <w:rsid w:val="00DF1881"/>
    <w:rsid w:val="00E03C54"/>
    <w:rsid w:val="00E7507C"/>
    <w:rsid w:val="00E936F2"/>
    <w:rsid w:val="00EA5983"/>
    <w:rsid w:val="00F055C0"/>
    <w:rsid w:val="00F503E2"/>
    <w:rsid w:val="00FF1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839A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8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687E"/>
    <w:rPr>
      <w:rFonts w:ascii="Lucida Grande" w:hAnsi="Lucida Grande" w:cs="Lucida Grande"/>
      <w:sz w:val="18"/>
      <w:szCs w:val="18"/>
    </w:rPr>
  </w:style>
  <w:style w:type="paragraph" w:styleId="Caption">
    <w:name w:val="caption"/>
    <w:basedOn w:val="Normal"/>
    <w:next w:val="Normal"/>
    <w:uiPriority w:val="35"/>
    <w:unhideWhenUsed/>
    <w:qFormat/>
    <w:rsid w:val="000C687E"/>
    <w:pPr>
      <w:spacing w:after="200"/>
    </w:pPr>
    <w:rPr>
      <w:b/>
      <w:bCs/>
      <w:color w:val="4F81BD" w:themeColor="accent1"/>
      <w:sz w:val="18"/>
      <w:szCs w:val="18"/>
    </w:rPr>
  </w:style>
  <w:style w:type="character" w:customStyle="1" w:styleId="apple-converted-space">
    <w:name w:val="apple-converted-space"/>
    <w:basedOn w:val="DefaultParagraphFont"/>
    <w:rsid w:val="00933195"/>
  </w:style>
  <w:style w:type="character" w:styleId="Hyperlink">
    <w:name w:val="Hyperlink"/>
    <w:basedOn w:val="DefaultParagraphFont"/>
    <w:uiPriority w:val="99"/>
    <w:unhideWhenUsed/>
    <w:rsid w:val="00933195"/>
    <w:rPr>
      <w:color w:val="0000FF" w:themeColor="hyperlink"/>
      <w:u w:val="single"/>
    </w:rPr>
  </w:style>
  <w:style w:type="paragraph" w:styleId="NormalWeb">
    <w:name w:val="Normal (Web)"/>
    <w:basedOn w:val="Normal"/>
    <w:uiPriority w:val="99"/>
    <w:unhideWhenUsed/>
    <w:rsid w:val="00D302C0"/>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D302C0"/>
    <w:rPr>
      <w:i/>
      <w:iCs/>
    </w:rPr>
  </w:style>
  <w:style w:type="paragraph" w:styleId="FootnoteText">
    <w:name w:val="footnote text"/>
    <w:basedOn w:val="Normal"/>
    <w:link w:val="FootnoteTextChar"/>
    <w:uiPriority w:val="99"/>
    <w:unhideWhenUsed/>
    <w:rsid w:val="00EA5983"/>
  </w:style>
  <w:style w:type="character" w:customStyle="1" w:styleId="FootnoteTextChar">
    <w:name w:val="Footnote Text Char"/>
    <w:basedOn w:val="DefaultParagraphFont"/>
    <w:link w:val="FootnoteText"/>
    <w:uiPriority w:val="99"/>
    <w:rsid w:val="00EA5983"/>
  </w:style>
  <w:style w:type="character" w:styleId="FootnoteReference">
    <w:name w:val="footnote reference"/>
    <w:basedOn w:val="DefaultParagraphFont"/>
    <w:uiPriority w:val="99"/>
    <w:unhideWhenUsed/>
    <w:rsid w:val="00EA598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8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687E"/>
    <w:rPr>
      <w:rFonts w:ascii="Lucida Grande" w:hAnsi="Lucida Grande" w:cs="Lucida Grande"/>
      <w:sz w:val="18"/>
      <w:szCs w:val="18"/>
    </w:rPr>
  </w:style>
  <w:style w:type="paragraph" w:styleId="Caption">
    <w:name w:val="caption"/>
    <w:basedOn w:val="Normal"/>
    <w:next w:val="Normal"/>
    <w:uiPriority w:val="35"/>
    <w:unhideWhenUsed/>
    <w:qFormat/>
    <w:rsid w:val="000C687E"/>
    <w:pPr>
      <w:spacing w:after="200"/>
    </w:pPr>
    <w:rPr>
      <w:b/>
      <w:bCs/>
      <w:color w:val="4F81BD" w:themeColor="accent1"/>
      <w:sz w:val="18"/>
      <w:szCs w:val="18"/>
    </w:rPr>
  </w:style>
  <w:style w:type="character" w:customStyle="1" w:styleId="apple-converted-space">
    <w:name w:val="apple-converted-space"/>
    <w:basedOn w:val="DefaultParagraphFont"/>
    <w:rsid w:val="00933195"/>
  </w:style>
  <w:style w:type="character" w:styleId="Hyperlink">
    <w:name w:val="Hyperlink"/>
    <w:basedOn w:val="DefaultParagraphFont"/>
    <w:uiPriority w:val="99"/>
    <w:unhideWhenUsed/>
    <w:rsid w:val="00933195"/>
    <w:rPr>
      <w:color w:val="0000FF" w:themeColor="hyperlink"/>
      <w:u w:val="single"/>
    </w:rPr>
  </w:style>
  <w:style w:type="paragraph" w:styleId="NormalWeb">
    <w:name w:val="Normal (Web)"/>
    <w:basedOn w:val="Normal"/>
    <w:uiPriority w:val="99"/>
    <w:unhideWhenUsed/>
    <w:rsid w:val="00D302C0"/>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D302C0"/>
    <w:rPr>
      <w:i/>
      <w:iCs/>
    </w:rPr>
  </w:style>
  <w:style w:type="paragraph" w:styleId="FootnoteText">
    <w:name w:val="footnote text"/>
    <w:basedOn w:val="Normal"/>
    <w:link w:val="FootnoteTextChar"/>
    <w:uiPriority w:val="99"/>
    <w:unhideWhenUsed/>
    <w:rsid w:val="00EA5983"/>
  </w:style>
  <w:style w:type="character" w:customStyle="1" w:styleId="FootnoteTextChar">
    <w:name w:val="Footnote Text Char"/>
    <w:basedOn w:val="DefaultParagraphFont"/>
    <w:link w:val="FootnoteText"/>
    <w:uiPriority w:val="99"/>
    <w:rsid w:val="00EA5983"/>
  </w:style>
  <w:style w:type="character" w:styleId="FootnoteReference">
    <w:name w:val="footnote reference"/>
    <w:basedOn w:val="DefaultParagraphFont"/>
    <w:uiPriority w:val="99"/>
    <w:unhideWhenUsed/>
    <w:rsid w:val="00EA59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2616">
      <w:bodyDiv w:val="1"/>
      <w:marLeft w:val="0"/>
      <w:marRight w:val="0"/>
      <w:marTop w:val="0"/>
      <w:marBottom w:val="0"/>
      <w:divBdr>
        <w:top w:val="none" w:sz="0" w:space="0" w:color="auto"/>
        <w:left w:val="none" w:sz="0" w:space="0" w:color="auto"/>
        <w:bottom w:val="none" w:sz="0" w:space="0" w:color="auto"/>
        <w:right w:val="none" w:sz="0" w:space="0" w:color="auto"/>
      </w:divBdr>
      <w:divsChild>
        <w:div w:id="1670672405">
          <w:marLeft w:val="662"/>
          <w:marRight w:val="0"/>
          <w:marTop w:val="58"/>
          <w:marBottom w:val="0"/>
          <w:divBdr>
            <w:top w:val="none" w:sz="0" w:space="0" w:color="auto"/>
            <w:left w:val="none" w:sz="0" w:space="0" w:color="auto"/>
            <w:bottom w:val="none" w:sz="0" w:space="0" w:color="auto"/>
            <w:right w:val="none" w:sz="0" w:space="0" w:color="auto"/>
          </w:divBdr>
        </w:div>
      </w:divsChild>
    </w:div>
    <w:div w:id="328406580">
      <w:bodyDiv w:val="1"/>
      <w:marLeft w:val="0"/>
      <w:marRight w:val="0"/>
      <w:marTop w:val="0"/>
      <w:marBottom w:val="0"/>
      <w:divBdr>
        <w:top w:val="none" w:sz="0" w:space="0" w:color="auto"/>
        <w:left w:val="none" w:sz="0" w:space="0" w:color="auto"/>
        <w:bottom w:val="none" w:sz="0" w:space="0" w:color="auto"/>
        <w:right w:val="none" w:sz="0" w:space="0" w:color="auto"/>
      </w:divBdr>
    </w:div>
    <w:div w:id="535123607">
      <w:bodyDiv w:val="1"/>
      <w:marLeft w:val="0"/>
      <w:marRight w:val="0"/>
      <w:marTop w:val="0"/>
      <w:marBottom w:val="0"/>
      <w:divBdr>
        <w:top w:val="none" w:sz="0" w:space="0" w:color="auto"/>
        <w:left w:val="none" w:sz="0" w:space="0" w:color="auto"/>
        <w:bottom w:val="none" w:sz="0" w:space="0" w:color="auto"/>
        <w:right w:val="none" w:sz="0" w:space="0" w:color="auto"/>
      </w:divBdr>
      <w:divsChild>
        <w:div w:id="42870050">
          <w:marLeft w:val="662"/>
          <w:marRight w:val="0"/>
          <w:marTop w:val="58"/>
          <w:marBottom w:val="0"/>
          <w:divBdr>
            <w:top w:val="none" w:sz="0" w:space="0" w:color="auto"/>
            <w:left w:val="none" w:sz="0" w:space="0" w:color="auto"/>
            <w:bottom w:val="none" w:sz="0" w:space="0" w:color="auto"/>
            <w:right w:val="none" w:sz="0" w:space="0" w:color="auto"/>
          </w:divBdr>
        </w:div>
      </w:divsChild>
    </w:div>
    <w:div w:id="540438985">
      <w:bodyDiv w:val="1"/>
      <w:marLeft w:val="0"/>
      <w:marRight w:val="0"/>
      <w:marTop w:val="0"/>
      <w:marBottom w:val="0"/>
      <w:divBdr>
        <w:top w:val="none" w:sz="0" w:space="0" w:color="auto"/>
        <w:left w:val="none" w:sz="0" w:space="0" w:color="auto"/>
        <w:bottom w:val="none" w:sz="0" w:space="0" w:color="auto"/>
        <w:right w:val="none" w:sz="0" w:space="0" w:color="auto"/>
      </w:divBdr>
      <w:divsChild>
        <w:div w:id="1192645839">
          <w:marLeft w:val="662"/>
          <w:marRight w:val="0"/>
          <w:marTop w:val="58"/>
          <w:marBottom w:val="0"/>
          <w:divBdr>
            <w:top w:val="none" w:sz="0" w:space="0" w:color="auto"/>
            <w:left w:val="none" w:sz="0" w:space="0" w:color="auto"/>
            <w:bottom w:val="none" w:sz="0" w:space="0" w:color="auto"/>
            <w:right w:val="none" w:sz="0" w:space="0" w:color="auto"/>
          </w:divBdr>
        </w:div>
      </w:divsChild>
    </w:div>
    <w:div w:id="824128525">
      <w:bodyDiv w:val="1"/>
      <w:marLeft w:val="0"/>
      <w:marRight w:val="0"/>
      <w:marTop w:val="0"/>
      <w:marBottom w:val="0"/>
      <w:divBdr>
        <w:top w:val="none" w:sz="0" w:space="0" w:color="auto"/>
        <w:left w:val="none" w:sz="0" w:space="0" w:color="auto"/>
        <w:bottom w:val="none" w:sz="0" w:space="0" w:color="auto"/>
        <w:right w:val="none" w:sz="0" w:space="0" w:color="auto"/>
      </w:divBdr>
    </w:div>
    <w:div w:id="1091508086">
      <w:bodyDiv w:val="1"/>
      <w:marLeft w:val="0"/>
      <w:marRight w:val="0"/>
      <w:marTop w:val="0"/>
      <w:marBottom w:val="0"/>
      <w:divBdr>
        <w:top w:val="none" w:sz="0" w:space="0" w:color="auto"/>
        <w:left w:val="none" w:sz="0" w:space="0" w:color="auto"/>
        <w:bottom w:val="none" w:sz="0" w:space="0" w:color="auto"/>
        <w:right w:val="none" w:sz="0" w:space="0" w:color="auto"/>
      </w:divBdr>
    </w:div>
    <w:div w:id="1443764840">
      <w:bodyDiv w:val="1"/>
      <w:marLeft w:val="0"/>
      <w:marRight w:val="0"/>
      <w:marTop w:val="0"/>
      <w:marBottom w:val="0"/>
      <w:divBdr>
        <w:top w:val="none" w:sz="0" w:space="0" w:color="auto"/>
        <w:left w:val="none" w:sz="0" w:space="0" w:color="auto"/>
        <w:bottom w:val="none" w:sz="0" w:space="0" w:color="auto"/>
        <w:right w:val="none" w:sz="0" w:space="0" w:color="auto"/>
      </w:divBdr>
    </w:div>
    <w:div w:id="1489246351">
      <w:bodyDiv w:val="1"/>
      <w:marLeft w:val="0"/>
      <w:marRight w:val="0"/>
      <w:marTop w:val="0"/>
      <w:marBottom w:val="0"/>
      <w:divBdr>
        <w:top w:val="none" w:sz="0" w:space="0" w:color="auto"/>
        <w:left w:val="none" w:sz="0" w:space="0" w:color="auto"/>
        <w:bottom w:val="none" w:sz="0" w:space="0" w:color="auto"/>
        <w:right w:val="none" w:sz="0" w:space="0" w:color="auto"/>
      </w:divBdr>
    </w:div>
    <w:div w:id="1885023495">
      <w:bodyDiv w:val="1"/>
      <w:marLeft w:val="0"/>
      <w:marRight w:val="0"/>
      <w:marTop w:val="0"/>
      <w:marBottom w:val="0"/>
      <w:divBdr>
        <w:top w:val="none" w:sz="0" w:space="0" w:color="auto"/>
        <w:left w:val="none" w:sz="0" w:space="0" w:color="auto"/>
        <w:bottom w:val="none" w:sz="0" w:space="0" w:color="auto"/>
        <w:right w:val="none" w:sz="0" w:space="0" w:color="auto"/>
      </w:divBdr>
    </w:div>
    <w:div w:id="1977833068">
      <w:bodyDiv w:val="1"/>
      <w:marLeft w:val="0"/>
      <w:marRight w:val="0"/>
      <w:marTop w:val="0"/>
      <w:marBottom w:val="0"/>
      <w:divBdr>
        <w:top w:val="none" w:sz="0" w:space="0" w:color="auto"/>
        <w:left w:val="none" w:sz="0" w:space="0" w:color="auto"/>
        <w:bottom w:val="none" w:sz="0" w:space="0" w:color="auto"/>
        <w:right w:val="none" w:sz="0" w:space="0" w:color="auto"/>
      </w:divBdr>
      <w:divsChild>
        <w:div w:id="220093687">
          <w:marLeft w:val="662"/>
          <w:marRight w:val="0"/>
          <w:marTop w:val="58"/>
          <w:marBottom w:val="0"/>
          <w:divBdr>
            <w:top w:val="none" w:sz="0" w:space="0" w:color="auto"/>
            <w:left w:val="none" w:sz="0" w:space="0" w:color="auto"/>
            <w:bottom w:val="none" w:sz="0" w:space="0" w:color="auto"/>
            <w:right w:val="none" w:sz="0" w:space="0" w:color="auto"/>
          </w:divBdr>
        </w:div>
        <w:div w:id="83768670">
          <w:marLeft w:val="662"/>
          <w:marRight w:val="0"/>
          <w:marTop w:val="58"/>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chart" Target="charts/chart1.xml"/><Relationship Id="rId10"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Untitled:Users:skim422:Library:Containers:com.apple.mail:Data:Library:Mail%20Downloads:94720057-C221-4722-840D-AB1A66FB215D:A&amp;D%20stea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latin typeface="Times New Roman"/>
              </a:defRPr>
            </a:pPr>
            <a:r>
              <a:rPr lang="en-US" sz="1200">
                <a:latin typeface="Times New Roman"/>
              </a:rPr>
              <a:t>Art</a:t>
            </a:r>
            <a:r>
              <a:rPr lang="en-US" sz="1200" baseline="0">
                <a:latin typeface="Times New Roman"/>
              </a:rPr>
              <a:t> and Design Building </a:t>
            </a:r>
          </a:p>
          <a:p>
            <a:pPr>
              <a:defRPr sz="1400">
                <a:latin typeface="Times New Roman"/>
              </a:defRPr>
            </a:pPr>
            <a:r>
              <a:rPr lang="en-US" sz="1200" baseline="0">
                <a:latin typeface="Times New Roman"/>
              </a:rPr>
              <a:t>Steam Consumption in KLBS</a:t>
            </a:r>
            <a:endParaRPr lang="en-US" sz="1200">
              <a:latin typeface="Times New Roman"/>
            </a:endParaRPr>
          </a:p>
        </c:rich>
      </c:tx>
      <c:layout/>
      <c:overlay val="0"/>
    </c:title>
    <c:autoTitleDeleted val="0"/>
    <c:plotArea>
      <c:layout/>
      <c:lineChart>
        <c:grouping val="standard"/>
        <c:varyColors val="0"/>
        <c:ser>
          <c:idx val="0"/>
          <c:order val="0"/>
          <c:tx>
            <c:strRef>
              <c:f>'ebstrend (5)'!$A$24</c:f>
              <c:strCache>
                <c:ptCount val="1"/>
                <c:pt idx="0">
                  <c:v>Steam (KLBS)</c:v>
                </c:pt>
              </c:strCache>
            </c:strRef>
          </c:tx>
          <c:marker>
            <c:symbol val="none"/>
          </c:marker>
          <c:dLbls>
            <c:showLegendKey val="0"/>
            <c:showVal val="1"/>
            <c:showCatName val="0"/>
            <c:showSerName val="0"/>
            <c:showPercent val="0"/>
            <c:showBubbleSize val="0"/>
            <c:showLeaderLines val="0"/>
          </c:dLbls>
          <c:cat>
            <c:strRef>
              <c:f>'ebstrend (5)'!$B$23:$F$23</c:f>
              <c:strCache>
                <c:ptCount val="5"/>
                <c:pt idx="0">
                  <c:v>FY 2009</c:v>
                </c:pt>
                <c:pt idx="1">
                  <c:v>FY 2010</c:v>
                </c:pt>
                <c:pt idx="2">
                  <c:v>FY 2011</c:v>
                </c:pt>
                <c:pt idx="3">
                  <c:v>FY2012</c:v>
                </c:pt>
                <c:pt idx="4">
                  <c:v>FY2013</c:v>
                </c:pt>
              </c:strCache>
            </c:strRef>
          </c:cat>
          <c:val>
            <c:numRef>
              <c:f>'ebstrend (5)'!$B$24:$F$24</c:f>
              <c:numCache>
                <c:formatCode>#,##0.00</c:formatCode>
                <c:ptCount val="5"/>
                <c:pt idx="0">
                  <c:v>11237.413</c:v>
                </c:pt>
                <c:pt idx="1">
                  <c:v>12378.36</c:v>
                </c:pt>
                <c:pt idx="2">
                  <c:v>8804.062</c:v>
                </c:pt>
                <c:pt idx="3">
                  <c:v>8035.328</c:v>
                </c:pt>
                <c:pt idx="4">
                  <c:v>8035.328</c:v>
                </c:pt>
              </c:numCache>
            </c:numRef>
          </c:val>
          <c:smooth val="0"/>
        </c:ser>
        <c:dLbls>
          <c:showLegendKey val="0"/>
          <c:showVal val="0"/>
          <c:showCatName val="0"/>
          <c:showSerName val="0"/>
          <c:showPercent val="0"/>
          <c:showBubbleSize val="0"/>
        </c:dLbls>
        <c:marker val="1"/>
        <c:smooth val="0"/>
        <c:axId val="2086974728"/>
        <c:axId val="2083975704"/>
      </c:lineChart>
      <c:catAx>
        <c:axId val="2086974728"/>
        <c:scaling>
          <c:orientation val="minMax"/>
        </c:scaling>
        <c:delete val="0"/>
        <c:axPos val="b"/>
        <c:majorTickMark val="out"/>
        <c:minorTickMark val="none"/>
        <c:tickLblPos val="nextTo"/>
        <c:crossAx val="2083975704"/>
        <c:crosses val="autoZero"/>
        <c:auto val="1"/>
        <c:lblAlgn val="ctr"/>
        <c:lblOffset val="100"/>
        <c:noMultiLvlLbl val="0"/>
      </c:catAx>
      <c:valAx>
        <c:axId val="2083975704"/>
        <c:scaling>
          <c:orientation val="minMax"/>
        </c:scaling>
        <c:delete val="0"/>
        <c:axPos val="l"/>
        <c:majorGridlines/>
        <c:numFmt formatCode="#,##0.00" sourceLinked="1"/>
        <c:majorTickMark val="out"/>
        <c:minorTickMark val="none"/>
        <c:tickLblPos val="nextTo"/>
        <c:txPr>
          <a:bodyPr/>
          <a:lstStyle/>
          <a:p>
            <a:pPr>
              <a:defRPr>
                <a:latin typeface="Times New Roman"/>
              </a:defRPr>
            </a:pPr>
            <a:endParaRPr lang="en-US"/>
          </a:p>
        </c:txPr>
        <c:crossAx val="2086974728"/>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1456</TotalTime>
  <Pages>11</Pages>
  <Words>2729</Words>
  <Characters>15558</Characters>
  <Application>Microsoft Macintosh Word</Application>
  <DocSecurity>0</DocSecurity>
  <Lines>129</Lines>
  <Paragraphs>36</Paragraphs>
  <ScaleCrop>false</ScaleCrop>
  <Company/>
  <LinksUpToDate>false</LinksUpToDate>
  <CharactersWithSpaces>18251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2</cp:revision>
  <dcterms:created xsi:type="dcterms:W3CDTF">2014-05-02T23:46:00Z</dcterms:created>
  <dcterms:modified xsi:type="dcterms:W3CDTF">2014-05-08T04:47:00Z</dcterms:modified>
</cp:coreProperties>
</file>