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28" w:rsidRPr="00DC1369" w:rsidRDefault="00DC1369" w:rsidP="00DC136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Energy Conservation and Building Standards </w:t>
      </w:r>
      <w:proofErr w:type="spellStart"/>
      <w:r>
        <w:rPr>
          <w:rFonts w:asciiTheme="majorHAnsi" w:hAnsiTheme="majorHAnsi"/>
          <w:sz w:val="24"/>
          <w:szCs w:val="24"/>
        </w:rPr>
        <w:t>SWATeam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1C03A6">
        <w:rPr>
          <w:rFonts w:asciiTheme="majorHAnsi" w:hAnsiTheme="majorHAnsi"/>
          <w:sz w:val="24"/>
          <w:szCs w:val="24"/>
        </w:rPr>
        <w:t>Recommendation Summary</w:t>
      </w:r>
      <w:proofErr w:type="gramStart"/>
      <w:r>
        <w:rPr>
          <w:rFonts w:asciiTheme="majorHAnsi" w:hAnsiTheme="majorHAnsi"/>
          <w:sz w:val="24"/>
          <w:szCs w:val="24"/>
        </w:rPr>
        <w:t>:</w:t>
      </w:r>
      <w:proofErr w:type="gramEnd"/>
      <w:r>
        <w:rPr>
          <w:rFonts w:asciiTheme="majorHAnsi" w:hAnsiTheme="majorHAnsi"/>
          <w:sz w:val="24"/>
          <w:szCs w:val="24"/>
        </w:rPr>
        <w:br/>
      </w:r>
      <w:r w:rsidR="006C1B05" w:rsidRPr="00DC1369">
        <w:rPr>
          <w:rFonts w:asciiTheme="majorHAnsi" w:hAnsiTheme="majorHAnsi"/>
          <w:sz w:val="24"/>
          <w:szCs w:val="24"/>
        </w:rPr>
        <w:t xml:space="preserve">Illini Lights Out </w:t>
      </w:r>
      <w:r w:rsidR="00DA5CF8" w:rsidRPr="00DC1369">
        <w:rPr>
          <w:rFonts w:asciiTheme="majorHAnsi" w:hAnsiTheme="majorHAnsi"/>
          <w:sz w:val="24"/>
          <w:szCs w:val="24"/>
        </w:rPr>
        <w:t>– Friday April 15</w:t>
      </w:r>
      <w:r w:rsidR="00DA5CF8" w:rsidRPr="00DC1369">
        <w:rPr>
          <w:rFonts w:asciiTheme="majorHAnsi" w:hAnsiTheme="majorHAnsi"/>
          <w:sz w:val="24"/>
          <w:szCs w:val="24"/>
          <w:vertAlign w:val="superscript"/>
        </w:rPr>
        <w:t>th</w:t>
      </w:r>
      <w:r w:rsidR="00DA5CF8" w:rsidRPr="00DC1369">
        <w:rPr>
          <w:rFonts w:asciiTheme="majorHAnsi" w:hAnsiTheme="majorHAnsi"/>
          <w:sz w:val="24"/>
          <w:szCs w:val="24"/>
        </w:rPr>
        <w:t xml:space="preserve"> 6pm – 7pm</w:t>
      </w:r>
    </w:p>
    <w:p w:rsidR="003358BF" w:rsidRDefault="006C1B05">
      <w:pPr>
        <w:rPr>
          <w:rFonts w:asciiTheme="majorHAnsi" w:hAnsiTheme="majorHAnsi"/>
        </w:rPr>
      </w:pPr>
      <w:r w:rsidRPr="002C6D54">
        <w:rPr>
          <w:rFonts w:asciiTheme="majorHAnsi" w:hAnsiTheme="majorHAnsi"/>
        </w:rPr>
        <w:t xml:space="preserve">Summary: Student volunteers switched off lights in 8 buildings around the Main </w:t>
      </w:r>
      <w:proofErr w:type="gramStart"/>
      <w:r w:rsidRPr="002C6D54">
        <w:rPr>
          <w:rFonts w:asciiTheme="majorHAnsi" w:hAnsiTheme="majorHAnsi"/>
        </w:rPr>
        <w:t>Quad,</w:t>
      </w:r>
      <w:proofErr w:type="gramEnd"/>
      <w:r w:rsidRPr="002C6D54">
        <w:rPr>
          <w:rFonts w:asciiTheme="majorHAnsi" w:hAnsiTheme="majorHAnsi"/>
        </w:rPr>
        <w:t xml:space="preserve"> counted the number of lights and the room number on a tally sheet and closed any windows left open. </w:t>
      </w:r>
      <w:r w:rsidR="002C6D54" w:rsidRPr="002C6D54">
        <w:rPr>
          <w:rFonts w:asciiTheme="majorHAnsi" w:hAnsiTheme="majorHAnsi"/>
        </w:rPr>
        <w:t xml:space="preserve">Students were given free rein on how to document lights in rooms </w:t>
      </w:r>
      <w:r w:rsidR="002C6D54">
        <w:rPr>
          <w:rFonts w:asciiTheme="majorHAnsi" w:hAnsiTheme="majorHAnsi"/>
        </w:rPr>
        <w:t xml:space="preserve">(some chose to write the rooms with lights off and on, some just the rooms with lights on) </w:t>
      </w:r>
      <w:r w:rsidR="002C6D54" w:rsidRPr="002C6D54">
        <w:rPr>
          <w:rFonts w:asciiTheme="majorHAnsi" w:hAnsiTheme="majorHAnsi"/>
        </w:rPr>
        <w:t xml:space="preserve">and which (unlocked) rooms to enter – as long as they recorded the number of lights switched off. </w:t>
      </w:r>
      <w:r w:rsidRPr="00DC1369">
        <w:rPr>
          <w:rFonts w:asciiTheme="majorHAnsi" w:hAnsiTheme="majorHAnsi"/>
        </w:rPr>
        <w:t xml:space="preserve">After returning their tally sheets they filled out a short survey and enjoyed some pizza.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C03A6" w:rsidTr="001C03A6">
        <w:trPr>
          <w:trHeight w:val="349"/>
        </w:trPr>
        <w:tc>
          <w:tcPr>
            <w:tcW w:w="9576" w:type="dxa"/>
            <w:gridSpan w:val="2"/>
          </w:tcPr>
          <w:p w:rsidR="001C03A6" w:rsidRDefault="001C03A6" w:rsidP="001C03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Buildings and Number of Lights Turned Off:</w:t>
            </w:r>
          </w:p>
        </w:tc>
      </w:tr>
      <w:tr w:rsidR="001C03A6" w:rsidTr="001C03A6"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</w:rPr>
              <w:t>English Building: 100</w:t>
            </w:r>
          </w:p>
        </w:tc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C03A6">
              <w:rPr>
                <w:rFonts w:asciiTheme="majorHAnsi" w:hAnsiTheme="majorHAnsi"/>
                <w:b/>
              </w:rPr>
              <w:t xml:space="preserve">Gregory Hall: </w:t>
            </w:r>
            <w:r w:rsidRPr="001C03A6">
              <w:rPr>
                <w:rFonts w:asciiTheme="majorHAnsi" w:hAnsiTheme="majorHAnsi"/>
                <w:b/>
                <w:u w:val="single"/>
              </w:rPr>
              <w:t>540</w:t>
            </w:r>
          </w:p>
        </w:tc>
      </w:tr>
      <w:tr w:rsidR="001C03A6" w:rsidTr="001C03A6"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</w:rPr>
              <w:t>Lincoln Hall: 60</w:t>
            </w:r>
          </w:p>
        </w:tc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</w:rPr>
              <w:t xml:space="preserve">Daniel </w:t>
            </w:r>
            <w:proofErr w:type="spellStart"/>
            <w:r w:rsidRPr="001C03A6">
              <w:rPr>
                <w:rFonts w:asciiTheme="majorHAnsi" w:hAnsiTheme="majorHAnsi"/>
              </w:rPr>
              <w:t>Kinley</w:t>
            </w:r>
            <w:proofErr w:type="spellEnd"/>
            <w:r w:rsidRPr="001C03A6">
              <w:rPr>
                <w:rFonts w:asciiTheme="majorHAnsi" w:hAnsiTheme="majorHAnsi"/>
              </w:rPr>
              <w:t xml:space="preserve"> Hall: 42</w:t>
            </w:r>
          </w:p>
        </w:tc>
      </w:tr>
      <w:tr w:rsidR="001C03A6" w:rsidTr="001C03A6"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</w:rPr>
              <w:t>Davenport Hall: 191</w:t>
            </w:r>
          </w:p>
        </w:tc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</w:rPr>
              <w:t>Noyes Laboratory: 75</w:t>
            </w:r>
          </w:p>
        </w:tc>
      </w:tr>
      <w:tr w:rsidR="001C03A6" w:rsidTr="001C03A6">
        <w:trPr>
          <w:trHeight w:val="411"/>
        </w:trPr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proofErr w:type="spellStart"/>
            <w:r w:rsidRPr="001C03A6">
              <w:rPr>
                <w:rFonts w:asciiTheme="majorHAnsi" w:hAnsiTheme="majorHAnsi"/>
              </w:rPr>
              <w:t>Altgeld</w:t>
            </w:r>
            <w:proofErr w:type="spellEnd"/>
            <w:r w:rsidRPr="001C03A6">
              <w:rPr>
                <w:rFonts w:asciiTheme="majorHAnsi" w:hAnsiTheme="majorHAnsi"/>
              </w:rPr>
              <w:t xml:space="preserve"> Hall: 182</w:t>
            </w:r>
          </w:p>
        </w:tc>
        <w:tc>
          <w:tcPr>
            <w:tcW w:w="4788" w:type="dxa"/>
          </w:tcPr>
          <w:p w:rsidR="001C03A6" w:rsidRPr="001C03A6" w:rsidRDefault="001C03A6" w:rsidP="001C03A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C03A6">
              <w:rPr>
                <w:rFonts w:asciiTheme="majorHAnsi" w:hAnsiTheme="majorHAnsi"/>
                <w:b/>
              </w:rPr>
              <w:t xml:space="preserve">Foreign Languages Building: </w:t>
            </w:r>
            <w:r w:rsidRPr="001C03A6">
              <w:rPr>
                <w:rFonts w:asciiTheme="majorHAnsi" w:hAnsiTheme="majorHAnsi"/>
                <w:b/>
                <w:u w:val="single"/>
              </w:rPr>
              <w:t xml:space="preserve">343 </w:t>
            </w:r>
          </w:p>
        </w:tc>
      </w:tr>
      <w:tr w:rsidR="001C03A6" w:rsidTr="001C03A6">
        <w:trPr>
          <w:trHeight w:val="686"/>
        </w:trPr>
        <w:tc>
          <w:tcPr>
            <w:tcW w:w="9576" w:type="dxa"/>
            <w:gridSpan w:val="2"/>
          </w:tcPr>
          <w:p w:rsidR="001C03A6" w:rsidRPr="001C03A6" w:rsidRDefault="001C03A6" w:rsidP="001C03A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03A6">
              <w:rPr>
                <w:rFonts w:asciiTheme="majorHAnsi" w:hAnsiTheme="majorHAnsi"/>
                <w:b/>
                <w:sz w:val="28"/>
                <w:szCs w:val="28"/>
              </w:rPr>
              <w:t>Total: 1, 533</w:t>
            </w:r>
          </w:p>
          <w:p w:rsidR="001C03A6" w:rsidRDefault="001C03A6" w:rsidP="001C03A6">
            <w:pPr>
              <w:jc w:val="center"/>
              <w:rPr>
                <w:rFonts w:asciiTheme="majorHAnsi" w:hAnsiTheme="majorHAnsi"/>
              </w:rPr>
            </w:pPr>
            <w:r w:rsidRPr="001C03A6">
              <w:rPr>
                <w:rFonts w:asciiTheme="majorHAnsi" w:hAnsiTheme="majorHAnsi"/>
                <w:sz w:val="28"/>
                <w:szCs w:val="28"/>
              </w:rPr>
              <w:t>Number of windows closed: 71</w:t>
            </w:r>
          </w:p>
        </w:tc>
      </w:tr>
    </w:tbl>
    <w:p w:rsidR="003358BF" w:rsidRDefault="001C03A6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3358BF">
        <w:rPr>
          <w:rFonts w:asciiTheme="majorHAnsi" w:hAnsiTheme="majorHAnsi"/>
        </w:rPr>
        <w:t>Student volunteers</w:t>
      </w:r>
      <w:r w:rsidR="003358BF" w:rsidRPr="00DC1369">
        <w:rPr>
          <w:rFonts w:asciiTheme="majorHAnsi" w:hAnsiTheme="majorHAnsi"/>
        </w:rPr>
        <w:t xml:space="preserve">: </w:t>
      </w:r>
      <w:r w:rsidR="003358BF">
        <w:rPr>
          <w:rFonts w:asciiTheme="majorHAnsi" w:hAnsiTheme="majorHAnsi"/>
        </w:rPr>
        <w:t xml:space="preserve">22 students from 18 different majors, from ALL academic years. </w:t>
      </w:r>
    </w:p>
    <w:p w:rsidR="00DC1369" w:rsidRDefault="00A7384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 </w:t>
      </w:r>
      <w:r w:rsidR="00DC1369">
        <w:rPr>
          <w:rFonts w:asciiTheme="majorHAnsi" w:hAnsiTheme="majorHAnsi"/>
        </w:rPr>
        <w:t xml:space="preserve">Feedback: </w:t>
      </w:r>
      <w:r>
        <w:rPr>
          <w:rFonts w:asciiTheme="majorHAnsi" w:hAnsiTheme="majorHAnsi"/>
        </w:rPr>
        <w:t xml:space="preserve">Fun &amp; positive environment. </w:t>
      </w:r>
      <w:r w:rsidR="00DC1369" w:rsidRPr="00DC1369">
        <w:rPr>
          <w:rFonts w:asciiTheme="majorHAnsi" w:hAnsiTheme="majorHAnsi"/>
          <w:b/>
        </w:rPr>
        <w:t>Advertise</w:t>
      </w:r>
      <w:r w:rsidR="00DC1369">
        <w:rPr>
          <w:rFonts w:asciiTheme="majorHAnsi" w:hAnsiTheme="majorHAnsi"/>
        </w:rPr>
        <w:t xml:space="preserve"> more. </w:t>
      </w:r>
      <w:r w:rsidR="00DC1369" w:rsidRPr="00DC1369">
        <w:rPr>
          <w:rFonts w:asciiTheme="majorHAnsi" w:hAnsiTheme="majorHAnsi"/>
          <w:b/>
        </w:rPr>
        <w:t>Recruit</w:t>
      </w:r>
      <w:r w:rsidR="00DC1369">
        <w:rPr>
          <w:rFonts w:asciiTheme="majorHAnsi" w:hAnsiTheme="majorHAnsi"/>
        </w:rPr>
        <w:t xml:space="preserve"> more people. </w:t>
      </w:r>
      <w:r w:rsidR="00DC1369" w:rsidRPr="00DC1369">
        <w:rPr>
          <w:rFonts w:asciiTheme="majorHAnsi" w:hAnsiTheme="majorHAnsi"/>
          <w:b/>
        </w:rPr>
        <w:t>Do it</w:t>
      </w:r>
      <w:r w:rsidR="00DC1369">
        <w:rPr>
          <w:rFonts w:asciiTheme="majorHAnsi" w:hAnsiTheme="majorHAnsi"/>
        </w:rPr>
        <w:t xml:space="preserve"> </w:t>
      </w:r>
      <w:r w:rsidR="00DC1369" w:rsidRPr="00A7384B">
        <w:rPr>
          <w:rFonts w:asciiTheme="majorHAnsi" w:hAnsiTheme="majorHAnsi"/>
          <w:b/>
        </w:rPr>
        <w:t xml:space="preserve">more </w:t>
      </w:r>
      <w:r w:rsidR="00DC1369">
        <w:rPr>
          <w:rFonts w:asciiTheme="majorHAnsi" w:hAnsiTheme="majorHAnsi"/>
        </w:rPr>
        <w:t xml:space="preserve">often. Develop </w:t>
      </w:r>
      <w:r>
        <w:rPr>
          <w:rFonts w:asciiTheme="majorHAnsi" w:hAnsiTheme="majorHAnsi"/>
          <w:i/>
        </w:rPr>
        <w:t xml:space="preserve">consistent </w:t>
      </w:r>
      <w:r w:rsidR="00DC1369" w:rsidRPr="00DC1369">
        <w:rPr>
          <w:rFonts w:asciiTheme="majorHAnsi" w:hAnsiTheme="majorHAnsi"/>
          <w:i/>
        </w:rPr>
        <w:t>counting metric</w:t>
      </w:r>
      <w:r w:rsidR="00DC1369">
        <w:rPr>
          <w:rFonts w:asciiTheme="majorHAnsi" w:hAnsiTheme="majorHAnsi"/>
        </w:rPr>
        <w:t xml:space="preserve">. </w:t>
      </w:r>
    </w:p>
    <w:p w:rsidR="00DC1369" w:rsidRDefault="00DC13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Suggested Buildings: Armory, NSRC, Illini Union, Psychology Building, </w:t>
      </w:r>
      <w:proofErr w:type="gramStart"/>
      <w:r>
        <w:rPr>
          <w:rFonts w:asciiTheme="majorHAnsi" w:hAnsiTheme="majorHAnsi"/>
        </w:rPr>
        <w:t>South</w:t>
      </w:r>
      <w:proofErr w:type="gramEnd"/>
      <w:r>
        <w:rPr>
          <w:rFonts w:asciiTheme="majorHAnsi" w:hAnsiTheme="majorHAnsi"/>
        </w:rPr>
        <w:t xml:space="preserve"> Quad,</w:t>
      </w:r>
      <w:r w:rsidRPr="00DC1369">
        <w:rPr>
          <w:rFonts w:asciiTheme="majorHAnsi" w:hAnsiTheme="majorHAnsi"/>
          <w:b/>
        </w:rPr>
        <w:t xml:space="preserve"> </w:t>
      </w:r>
      <w:r w:rsidRPr="002C6D54">
        <w:rPr>
          <w:rFonts w:asciiTheme="majorHAnsi" w:hAnsiTheme="majorHAnsi"/>
          <w:b/>
          <w:sz w:val="24"/>
          <w:szCs w:val="24"/>
        </w:rPr>
        <w:t>ALL</w:t>
      </w:r>
      <w:r w:rsidR="00A7384B">
        <w:rPr>
          <w:rFonts w:asciiTheme="majorHAnsi" w:hAnsiTheme="majorHAnsi"/>
          <w:b/>
          <w:sz w:val="24"/>
          <w:szCs w:val="24"/>
        </w:rPr>
        <w:t xml:space="preserve">. </w:t>
      </w:r>
    </w:p>
    <w:p w:rsidR="00DC1369" w:rsidRDefault="00DC1369">
      <w:pPr>
        <w:rPr>
          <w:rFonts w:asciiTheme="majorHAnsi" w:hAnsiTheme="majorHAnsi"/>
        </w:rPr>
      </w:pPr>
      <w:r w:rsidRPr="00DC1369">
        <w:rPr>
          <w:rFonts w:asciiTheme="majorHAnsi" w:hAnsiTheme="majorHAnsi"/>
        </w:rPr>
        <w:t xml:space="preserve">Conclusions/Implications: </w:t>
      </w:r>
    </w:p>
    <w:p w:rsidR="00737B67" w:rsidRDefault="00737B67" w:rsidP="00DC13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</w:t>
      </w:r>
      <w:r w:rsidR="00A7384B">
        <w:rPr>
          <w:rFonts w:asciiTheme="majorHAnsi" w:hAnsiTheme="majorHAnsi"/>
        </w:rPr>
        <w:t>ents keen to participate again – more advertising = more participants.</w:t>
      </w:r>
    </w:p>
    <w:p w:rsidR="00A7384B" w:rsidRDefault="00A7384B" w:rsidP="00A738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Significant room to expand initiative across campus: north/south quad. </w:t>
      </w:r>
    </w:p>
    <w:p w:rsidR="00A7384B" w:rsidRPr="00A7384B" w:rsidRDefault="00A7384B" w:rsidP="00A7384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all buildings can be audited due to sensitive information or lack of classrooms. </w:t>
      </w:r>
    </w:p>
    <w:p w:rsidR="002C6D54" w:rsidRDefault="002C6D54" w:rsidP="00DC13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Specific rooms/ numbers and number of lights should be provided in future to simplify volunteer instructions and tally sheets. However, many accessible hallway lights were switch</w:t>
      </w:r>
      <w:r w:rsidR="003358BF">
        <w:rPr>
          <w:rFonts w:asciiTheme="majorHAnsi" w:hAnsiTheme="majorHAnsi"/>
        </w:rPr>
        <w:t>ed off during this event</w:t>
      </w:r>
      <w:r>
        <w:rPr>
          <w:rFonts w:asciiTheme="majorHAnsi" w:hAnsiTheme="majorHAnsi"/>
        </w:rPr>
        <w:t xml:space="preserve">. </w:t>
      </w:r>
    </w:p>
    <w:p w:rsidR="00737B67" w:rsidRDefault="00737B67" w:rsidP="00DC13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Partnership with local restaurant would make this more cost effective to run and maintain. </w:t>
      </w:r>
    </w:p>
    <w:p w:rsidR="00DC1369" w:rsidRDefault="002C6D54" w:rsidP="00DC13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Better education of the importance of keeping windows closed to maintain heating/cooling efficiencies needed – especially when weather transitions from cool to warm.  </w:t>
      </w:r>
    </w:p>
    <w:p w:rsidR="003358BF" w:rsidRPr="003358BF" w:rsidRDefault="003358BF" w:rsidP="00DC13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Directly addresses </w:t>
      </w:r>
      <w:proofErr w:type="spellStart"/>
      <w:r>
        <w:rPr>
          <w:rFonts w:asciiTheme="majorHAnsi" w:hAnsiTheme="majorHAnsi"/>
          <w:b/>
        </w:rPr>
        <w:t>iCAP</w:t>
      </w:r>
      <w:proofErr w:type="spellEnd"/>
      <w:r>
        <w:rPr>
          <w:rFonts w:asciiTheme="majorHAnsi" w:hAnsiTheme="majorHAnsi"/>
          <w:b/>
        </w:rPr>
        <w:t xml:space="preserve"> Chapter 2. Objective 4: Engage and incentivise the campus community in energy conservation.</w:t>
      </w:r>
    </w:p>
    <w:p w:rsidR="003358BF" w:rsidRPr="003358BF" w:rsidRDefault="003358BF" w:rsidP="003358BF">
      <w:pPr>
        <w:rPr>
          <w:rFonts w:asciiTheme="majorHAnsi" w:hAnsiTheme="majorHAnsi"/>
        </w:rPr>
      </w:pPr>
    </w:p>
    <w:p w:rsidR="00DC1369" w:rsidRPr="003358BF" w:rsidRDefault="00737B67" w:rsidP="003358BF">
      <w:pPr>
        <w:jc w:val="center"/>
        <w:rPr>
          <w:rFonts w:asciiTheme="majorHAnsi" w:hAnsiTheme="majorHAnsi"/>
          <w:b/>
          <w:sz w:val="28"/>
          <w:szCs w:val="28"/>
        </w:rPr>
      </w:pPr>
      <w:r w:rsidRPr="003358BF">
        <w:rPr>
          <w:rFonts w:asciiTheme="majorHAnsi" w:hAnsiTheme="majorHAnsi"/>
          <w:b/>
          <w:sz w:val="28"/>
          <w:szCs w:val="28"/>
        </w:rPr>
        <w:t xml:space="preserve">Illini Lights Out is an effective and cost efficient way to help with energy conservation efforts </w:t>
      </w:r>
      <w:r w:rsidRPr="003358BF">
        <w:rPr>
          <w:rFonts w:asciiTheme="majorHAnsi" w:hAnsiTheme="majorHAnsi"/>
          <w:b/>
          <w:sz w:val="28"/>
          <w:szCs w:val="28"/>
          <w:u w:val="single"/>
        </w:rPr>
        <w:t>and</w:t>
      </w:r>
      <w:r w:rsidRPr="003358BF">
        <w:rPr>
          <w:rFonts w:asciiTheme="majorHAnsi" w:hAnsiTheme="majorHAnsi"/>
          <w:b/>
          <w:sz w:val="28"/>
          <w:szCs w:val="28"/>
        </w:rPr>
        <w:t xml:space="preserve"> engages students on campus!!</w:t>
      </w:r>
    </w:p>
    <w:sectPr w:rsidR="00DC1369" w:rsidRPr="003358BF" w:rsidSect="00CE182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00" w:rsidRDefault="00EA5000" w:rsidP="00DC1369">
      <w:pPr>
        <w:spacing w:after="0" w:line="240" w:lineRule="auto"/>
      </w:pPr>
      <w:r>
        <w:separator/>
      </w:r>
    </w:p>
  </w:endnote>
  <w:endnote w:type="continuationSeparator" w:id="0">
    <w:p w:rsidR="00EA5000" w:rsidRDefault="00EA5000" w:rsidP="00DC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A6" w:rsidRDefault="001C03A6" w:rsidP="001C03A6">
    <w:pPr>
      <w:pStyle w:val="Header"/>
      <w:jc w:val="center"/>
    </w:pPr>
    <w:r>
      <w:t xml:space="preserve">ECBS </w:t>
    </w:r>
    <w:proofErr w:type="spellStart"/>
    <w:r>
      <w:t>SWATeam</w:t>
    </w:r>
    <w:proofErr w:type="spellEnd"/>
    <w:r>
      <w:t xml:space="preserve"> members: Dr. Marian </w:t>
    </w:r>
    <w:proofErr w:type="spellStart"/>
    <w:r>
      <w:t>Huhman</w:t>
    </w:r>
    <w:proofErr w:type="spellEnd"/>
    <w:r>
      <w:t xml:space="preserve">, Fred Hahn, Karl </w:t>
    </w:r>
    <w:proofErr w:type="spellStart"/>
    <w:r>
      <w:t>Helmink</w:t>
    </w:r>
    <w:proofErr w:type="spellEnd"/>
    <w:r>
      <w:t xml:space="preserve">, </w:t>
    </w:r>
    <w:proofErr w:type="spellStart"/>
    <w:r>
      <w:t>Dhara</w:t>
    </w:r>
    <w:proofErr w:type="spellEnd"/>
    <w:r>
      <w:t xml:space="preserve"> Patel, Alex </w:t>
    </w:r>
    <w:proofErr w:type="spellStart"/>
    <w:r>
      <w:t>Dzurick</w:t>
    </w:r>
    <w:proofErr w:type="spellEnd"/>
    <w:r>
      <w:t>,</w:t>
    </w:r>
    <w:r>
      <w:br/>
      <w:t xml:space="preserve"> </w:t>
    </w:r>
    <w:proofErr w:type="spellStart"/>
    <w:r>
      <w:t>iSEE</w:t>
    </w:r>
    <w:proofErr w:type="spellEnd"/>
    <w:r>
      <w:t xml:space="preserve"> intern: Claudia </w:t>
    </w:r>
    <w:proofErr w:type="spellStart"/>
    <w:r>
      <w:rPr>
        <w:szCs w:val="24"/>
      </w:rPr>
      <w:t>Szczepaniak</w:t>
    </w:r>
    <w:proofErr w:type="spellEnd"/>
  </w:p>
  <w:p w:rsidR="001C03A6" w:rsidRDefault="001C0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00" w:rsidRDefault="00EA5000" w:rsidP="00DC1369">
      <w:pPr>
        <w:spacing w:after="0" w:line="240" w:lineRule="auto"/>
      </w:pPr>
      <w:r>
        <w:separator/>
      </w:r>
    </w:p>
  </w:footnote>
  <w:footnote w:type="continuationSeparator" w:id="0">
    <w:p w:rsidR="00EA5000" w:rsidRDefault="00EA5000" w:rsidP="00DC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A6" w:rsidRDefault="001C03A6" w:rsidP="001C03A6">
    <w:pPr>
      <w:pStyle w:val="Header"/>
      <w:jc w:val="right"/>
    </w:pPr>
    <w:r>
      <w:t xml:space="preserve">Prepared for </w:t>
    </w:r>
    <w:proofErr w:type="spellStart"/>
    <w:r>
      <w:t>iCAP</w:t>
    </w:r>
    <w:proofErr w:type="spellEnd"/>
    <w:r>
      <w:t xml:space="preserve"> forum: April 18</w:t>
    </w:r>
    <w:r w:rsidRPr="001C03A6">
      <w:rPr>
        <w:vertAlign w:val="superscript"/>
      </w:rPr>
      <w:t>th</w:t>
    </w:r>
    <w:r>
      <w:t xml:space="preserve">, 2016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2A46"/>
    <w:multiLevelType w:val="hybridMultilevel"/>
    <w:tmpl w:val="FCA87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C3EA8"/>
    <w:multiLevelType w:val="hybridMultilevel"/>
    <w:tmpl w:val="D4660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F8"/>
    <w:rsid w:val="001C03A6"/>
    <w:rsid w:val="002C6D54"/>
    <w:rsid w:val="003358BF"/>
    <w:rsid w:val="006C1B05"/>
    <w:rsid w:val="00737B67"/>
    <w:rsid w:val="0085069B"/>
    <w:rsid w:val="00A7384B"/>
    <w:rsid w:val="00CE1828"/>
    <w:rsid w:val="00DA5CF8"/>
    <w:rsid w:val="00DC1369"/>
    <w:rsid w:val="00EA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369"/>
  </w:style>
  <w:style w:type="paragraph" w:styleId="Footer">
    <w:name w:val="footer"/>
    <w:basedOn w:val="Normal"/>
    <w:link w:val="FooterChar"/>
    <w:uiPriority w:val="99"/>
    <w:semiHidden/>
    <w:unhideWhenUsed/>
    <w:rsid w:val="00DC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369"/>
  </w:style>
  <w:style w:type="paragraph" w:styleId="ListParagraph">
    <w:name w:val="List Paragraph"/>
    <w:basedOn w:val="Normal"/>
    <w:uiPriority w:val="34"/>
    <w:qFormat/>
    <w:rsid w:val="00DC1369"/>
    <w:pPr>
      <w:ind w:left="720"/>
      <w:contextualSpacing/>
    </w:pPr>
  </w:style>
  <w:style w:type="table" w:styleId="TableGrid">
    <w:name w:val="Table Grid"/>
    <w:basedOn w:val="TableNormal"/>
    <w:uiPriority w:val="59"/>
    <w:rsid w:val="001C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F92E-2672-4287-AF98-BE4C0345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2016-04-18T15:20:00Z</cp:lastPrinted>
  <dcterms:created xsi:type="dcterms:W3CDTF">2016-04-16T13:02:00Z</dcterms:created>
  <dcterms:modified xsi:type="dcterms:W3CDTF">2016-04-19T01:07:00Z</dcterms:modified>
</cp:coreProperties>
</file>